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-851535</wp:posOffset>
            </wp:positionV>
            <wp:extent cx="2178050" cy="416560"/>
            <wp:effectExtent l="0" t="0" r="6350" b="2540"/>
            <wp:wrapNone/>
            <wp:docPr id="3" name="图片 3" descr="2018年中智咨询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8年中智咨询logo-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 w:hAnsi="Arial" w:eastAsia="仿宋" w:cs="Arial"/>
          <w:color w:val="00387E"/>
          <w:sz w:val="84"/>
          <w:szCs w:val="84"/>
        </w:rPr>
      </w:pPr>
      <w:r>
        <w:pict>
          <v:rect id="_x0000_s1026" o:spid="_x0000_s1026" o:spt="1" style="position:absolute;left:0pt;margin-left:-92.5pt;margin-top:48.3pt;height:80.25pt;width:597.45pt;z-index:251662336;v-text-anchor:middle;mso-width-relative:page;mso-height-relative:page;" fillcolor="#00387E" filled="t" stroked="f" coordsize="21600,21600" o:gfxdata="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MuYTbbAAAADAEAAA8AAAAAAAAAAQAgAAAAIgAAAGRy&#10;cy9kb3ducmV2LnhtbFBLAQIUABQAAAAIAIdO4kADrCLgdAIAAMsEAAAOAAAAAAAAAAEAIAAAACoB&#10;AABkcnMvZTJvRG9jLnhtbFBLBQYAAAAABgAGAFkBAAAQBgAAAAA=&#10;">
            <v:path/>
            <v:fill on="t" focussize="0,0"/>
            <v:stroke on="f" weight="2pt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FFFFFF" w:themeColor="background1"/>
                      <w:sz w:val="52"/>
                      <w:szCs w:val="52"/>
                    </w:rPr>
                    <w:t>随州市2022年企业薪酬调查信息</w:t>
                  </w:r>
                </w:p>
              </w:txbxContent>
            </v:textbox>
          </v:rect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-1198880</wp:posOffset>
            </wp:positionH>
            <wp:positionV relativeFrom="paragraph">
              <wp:posOffset>53340</wp:posOffset>
            </wp:positionV>
            <wp:extent cx="7594600" cy="4783455"/>
            <wp:effectExtent l="0" t="0" r="0" b="4445"/>
            <wp:wrapNone/>
            <wp:docPr id="2" name="图片 2" descr="computer-767776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omputer-767776_19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478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/>
    <w:p/>
    <w:p/>
    <w:p/>
    <w:p/>
    <w:p/>
    <w:p/>
    <w:p/>
    <w:p/>
    <w:p/>
    <w:p/>
    <w:p>
      <w:bookmarkStart w:id="30" w:name="_GoBack"/>
      <w:bookmarkEnd w:id="30"/>
      <w:r>
        <w:pict>
          <v:roundrect id="_x0000_s2050" o:spid="_x0000_s2050" o:spt="2" style="position:absolute;left:0pt;margin-left:100.3pt;margin-top:1.95pt;height:84.5pt;width:222.6pt;z-index:251659264;v-text-anchor:middle;mso-width-relative:page;mso-height-relative:page;" filled="f" stroked="f" coordsize="21600,21600" arcsize="0.166666666666667" o:gfxdata="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/pu232AAAAAoBAAAPAAAAAAAAAAEAIAAAACIAAABkcnMvZG93bnJldi54bWxQSwEC&#10;FAAUAAAACACHTuJAwlX1xdgCAACVBQAADgAAAAAAAAABACAAAAAnAQAAZHJzL2Uyb0RvYy54bWxQ&#10;SwUGAAAAAAYABgBZAQAAcQYAAAAA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spacing w:line="460" w:lineRule="exact"/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0000" w:themeColor="text1"/>
                      <w:sz w:val="28"/>
                      <w:szCs w:val="28"/>
                    </w:rPr>
                    <w:t>随州市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 w:themeColor="text1"/>
                      <w:sz w:val="28"/>
                      <w:szCs w:val="28"/>
                    </w:rPr>
                    <w:t>人力资源和社会保障局</w:t>
                  </w:r>
                </w:p>
                <w:p>
                  <w:pPr>
                    <w:spacing w:line="460" w:lineRule="exact"/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 w:themeColor="text1"/>
                      <w:sz w:val="28"/>
                      <w:szCs w:val="28"/>
                    </w:rPr>
                    <w:t>中智管理咨询有限公司</w:t>
                  </w:r>
                </w:p>
                <w:p>
                  <w:pPr>
                    <w:spacing w:line="460" w:lineRule="exact"/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 w:themeColor="text1"/>
                      <w:sz w:val="28"/>
                      <w:szCs w:val="28"/>
                    </w:rPr>
                    <w:t>2023年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 w:themeColor="text1"/>
                      <w:sz w:val="28"/>
                      <w:szCs w:val="28"/>
                      <w:lang w:val="en-US" w:eastAsia="zh-CN"/>
                    </w:rPr>
                    <w:t>8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 w:themeColor="text1"/>
                      <w:sz w:val="28"/>
                      <w:szCs w:val="28"/>
                    </w:rPr>
                    <w:t>月</w:t>
                  </w:r>
                </w:p>
              </w:txbxContent>
            </v:textbox>
          </v:roundrect>
        </w:pict>
      </w:r>
    </w:p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dt>
      <w:sdtPr>
        <w:rPr>
          <w:rFonts w:ascii="宋体" w:hAnsi="宋体" w:eastAsia="宋体"/>
          <w:b/>
          <w:bCs/>
          <w:sz w:val="24"/>
          <w:szCs w:val="24"/>
        </w:rPr>
        <w:id w:val="147474038"/>
        <w:docPartObj>
          <w:docPartGallery w:val="Table of Contents"/>
          <w:docPartUnique/>
        </w:docPartObj>
      </w:sdtPr>
      <w:sdtEndPr>
        <w:rPr>
          <w:rFonts w:ascii="黑体" w:hAnsi="黑体" w:eastAsia="黑体"/>
          <w:b/>
          <w:bCs/>
          <w:sz w:val="21"/>
          <w:szCs w:val="44"/>
        </w:rPr>
      </w:sdtEndPr>
      <w:sdtContent>
        <w:p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rFonts w:ascii="宋体" w:hAnsi="宋体" w:eastAsia="宋体"/>
              <w:b/>
              <w:bCs/>
              <w:sz w:val="24"/>
              <w:szCs w:val="24"/>
            </w:rPr>
            <w:t>目录</w:t>
          </w:r>
        </w:p>
        <w:p>
          <w:pPr>
            <w:pStyle w:val="53"/>
            <w:tabs>
              <w:tab w:val="right" w:leader="dot" w:pos="8306"/>
            </w:tabs>
          </w:pPr>
          <w:r>
            <w:rPr>
              <w:rFonts w:ascii="黑体" w:hAnsi="黑体" w:eastAsia="黑体"/>
              <w:sz w:val="44"/>
              <w:szCs w:val="44"/>
            </w:rPr>
            <w:fldChar w:fldCharType="begin"/>
          </w:r>
          <w:r>
            <w:rPr>
              <w:rFonts w:ascii="黑体" w:hAnsi="黑体" w:eastAsia="黑体"/>
              <w:sz w:val="44"/>
              <w:szCs w:val="44"/>
            </w:rPr>
            <w:instrText xml:space="preserve">TOC \o "1-3" \h \u </w:instrText>
          </w:r>
          <w:r>
            <w:rPr>
              <w:rFonts w:ascii="黑体" w:hAnsi="黑体" w:eastAsia="黑体"/>
              <w:sz w:val="44"/>
              <w:szCs w:val="44"/>
            </w:rPr>
            <w:fldChar w:fldCharType="separate"/>
          </w:r>
          <w:r>
            <w:fldChar w:fldCharType="begin"/>
          </w:r>
          <w:r>
            <w:instrText xml:space="preserve"> HYPERLINK \l "_Toc1768"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附件一：</w:t>
          </w:r>
          <w:r>
            <w:rPr>
              <w:rFonts w:ascii="黑体" w:hAnsi="黑体" w:eastAsia="黑体"/>
            </w:rPr>
            <w:t>随州市</w:t>
          </w:r>
          <w:r>
            <w:rPr>
              <w:rFonts w:hint="eastAsia" w:ascii="黑体" w:hAnsi="黑体" w:eastAsia="黑体"/>
            </w:rPr>
            <w:t>2022年企业薪酬调查信息</w:t>
          </w:r>
          <w:r>
            <w:tab/>
          </w:r>
          <w:r>
            <w:fldChar w:fldCharType="begin"/>
          </w:r>
          <w:r>
            <w:instrText xml:space="preserve"> PAGEREF _Toc1768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20"/>
          </w:pPr>
          <w:r>
            <w:fldChar w:fldCharType="begin"/>
          </w:r>
          <w:r>
            <w:instrText xml:space="preserve"> HYPERLINK \l "_Toc7365" </w:instrText>
          </w:r>
          <w:r>
            <w:fldChar w:fldCharType="separate"/>
          </w:r>
          <w:r>
            <w:rPr>
              <w:rFonts w:hint="eastAsia" w:ascii="黑体" w:hAnsi="黑体" w:eastAsia="黑体" w:cs="楷体"/>
            </w:rPr>
            <w:t>一 、从业人员工资报酬数据</w:t>
          </w:r>
          <w:r>
            <w:tab/>
          </w:r>
          <w:r>
            <w:fldChar w:fldCharType="begin"/>
          </w:r>
          <w:r>
            <w:instrText xml:space="preserve"> PAGEREF _Toc7365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"_Toc5873"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（一）整体工资报酬信息</w:t>
          </w:r>
          <w:r>
            <w:tab/>
          </w:r>
          <w:r>
            <w:fldChar w:fldCharType="begin"/>
          </w:r>
          <w:r>
            <w:instrText xml:space="preserve"> PAGEREF _Toc5873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"_Toc5274"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1.分行业工资报酬信息</w:t>
          </w:r>
          <w:r>
            <w:tab/>
          </w:r>
          <w:r>
            <w:fldChar w:fldCharType="begin"/>
          </w:r>
          <w:r>
            <w:instrText xml:space="preserve"> PAGEREF _Toc5274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"_Toc14537"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2.分登记注册类型工资报酬信息</w:t>
          </w:r>
          <w:r>
            <w:tab/>
          </w:r>
          <w:r>
            <w:fldChar w:fldCharType="begin"/>
          </w:r>
          <w:r>
            <w:instrText xml:space="preserve"> PAGEREF _Toc14537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  <w:rPr>
              <w:rFonts w:hint="eastAsia"/>
            </w:rPr>
          </w:pPr>
          <w:r>
            <w:rPr>
              <w:rFonts w:hint="eastAsia"/>
            </w:rPr>
            <w:t>+</w:t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"_Toc4013"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3.分企业规模工资报酬信息</w:t>
          </w:r>
          <w:r>
            <w:tab/>
          </w:r>
          <w:r>
            <w:fldChar w:fldCharType="begin"/>
          </w:r>
          <w:r>
            <w:instrText xml:space="preserve"> PAGEREF _Toc4013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"_Toc12250"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4.分学历工资报酬信息</w:t>
          </w:r>
          <w:r>
            <w:tab/>
          </w:r>
          <w:r>
            <w:fldChar w:fldCharType="begin"/>
          </w:r>
          <w:r>
            <w:instrText xml:space="preserve"> PAGEREF _Toc12250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"_Toc21302"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5.分岗位等级工资报酬信息</w:t>
          </w:r>
          <w:r>
            <w:tab/>
          </w:r>
          <w:r>
            <w:fldChar w:fldCharType="begin"/>
          </w:r>
          <w:r>
            <w:instrText xml:space="preserve"> PAGEREF _Toc21302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"_Toc17963"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（二）分职业工资报酬信息</w:t>
          </w:r>
          <w:r>
            <w:tab/>
          </w:r>
          <w:r>
            <w:fldChar w:fldCharType="begin"/>
          </w:r>
          <w:r>
            <w:instrText xml:space="preserve"> PAGEREF _Toc17963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20"/>
          </w:pPr>
          <w:r>
            <w:fldChar w:fldCharType="begin"/>
          </w:r>
          <w:r>
            <w:instrText xml:space="preserve"> HYPERLINK \l "_Toc23585" </w:instrText>
          </w:r>
          <w:r>
            <w:fldChar w:fldCharType="separate"/>
          </w:r>
          <w:r>
            <w:rPr>
              <w:rFonts w:hint="eastAsia" w:ascii="黑体" w:hAnsi="黑体" w:eastAsia="黑体" w:cs="楷体"/>
            </w:rPr>
            <w:t>二 、企业人工成本数据</w:t>
          </w:r>
          <w:r>
            <w:tab/>
          </w:r>
          <w:r>
            <w:fldChar w:fldCharType="begin"/>
          </w:r>
          <w:r>
            <w:instrText xml:space="preserve"> PAGEREF _Toc23585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"_Toc31726"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（一）人工成本水平</w:t>
          </w:r>
          <w:r>
            <w:tab/>
          </w:r>
          <w:r>
            <w:fldChar w:fldCharType="begin"/>
          </w:r>
          <w:r>
            <w:instrText xml:space="preserve"> PAGEREF _Toc31726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"_Toc11500"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1.分行业门类人工成本水平</w:t>
          </w:r>
          <w:r>
            <w:tab/>
          </w:r>
          <w:r>
            <w:fldChar w:fldCharType="begin"/>
          </w:r>
          <w:r>
            <w:instrText xml:space="preserve"> PAGEREF _Toc11500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"_Toc2164" </w:instrText>
          </w:r>
          <w:r>
            <w:fldChar w:fldCharType="separate"/>
          </w:r>
          <w:r>
            <w:rPr>
              <w:rFonts w:ascii="仿宋" w:hAnsi="仿宋" w:eastAsia="仿宋" w:cs="仿宋"/>
              <w:szCs w:val="32"/>
            </w:rPr>
            <w:t>2</w:t>
          </w:r>
          <w:r>
            <w:rPr>
              <w:rFonts w:hint="eastAsia" w:ascii="仿宋" w:hAnsi="仿宋" w:eastAsia="仿宋" w:cs="仿宋"/>
              <w:szCs w:val="32"/>
            </w:rPr>
            <w:t>.分登记注册类型人工成本水平</w:t>
          </w:r>
          <w:r>
            <w:tab/>
          </w:r>
          <w:r>
            <w:fldChar w:fldCharType="begin"/>
          </w:r>
          <w:r>
            <w:instrText xml:space="preserve"> PAGEREF _Toc2164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"_Toc2881"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3.分企业规模人工成本水平</w:t>
          </w:r>
          <w:r>
            <w:tab/>
          </w:r>
          <w:r>
            <w:fldChar w:fldCharType="begin"/>
          </w:r>
          <w:r>
            <w:instrText xml:space="preserve"> PAGEREF _Toc2881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"_Toc24537"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（二）人工成本构成</w:t>
          </w:r>
          <w:r>
            <w:tab/>
          </w:r>
          <w:r>
            <w:fldChar w:fldCharType="begin"/>
          </w:r>
          <w:r>
            <w:instrText xml:space="preserve"> PAGEREF _Toc24537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"_Toc13187"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1.分行业门类人工成本构成</w:t>
          </w:r>
          <w:r>
            <w:tab/>
          </w:r>
          <w:r>
            <w:fldChar w:fldCharType="begin"/>
          </w:r>
          <w:r>
            <w:instrText xml:space="preserve"> PAGEREF _Toc13187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"_Toc19168" </w:instrText>
          </w:r>
          <w:r>
            <w:fldChar w:fldCharType="separate"/>
          </w:r>
          <w:r>
            <w:rPr>
              <w:rFonts w:ascii="仿宋" w:hAnsi="仿宋" w:eastAsia="仿宋" w:cs="仿宋"/>
              <w:szCs w:val="32"/>
            </w:rPr>
            <w:t>2</w:t>
          </w:r>
          <w:r>
            <w:rPr>
              <w:rFonts w:hint="eastAsia" w:ascii="仿宋" w:hAnsi="仿宋" w:eastAsia="仿宋" w:cs="仿宋"/>
              <w:szCs w:val="32"/>
            </w:rPr>
            <w:t>.分登记注册类型人工成本构成</w:t>
          </w:r>
          <w:r>
            <w:tab/>
          </w:r>
          <w:r>
            <w:fldChar w:fldCharType="begin"/>
          </w:r>
          <w:r>
            <w:instrText xml:space="preserve"> PAGEREF _Toc19168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"_Toc31148"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3.分企业规模人工成本构成</w:t>
          </w:r>
          <w:r>
            <w:tab/>
          </w:r>
          <w:r>
            <w:fldChar w:fldCharType="begin"/>
          </w:r>
          <w:r>
            <w:instrText xml:space="preserve"> PAGEREF _Toc31148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"_Toc19155"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（三）人工成本效益</w:t>
          </w:r>
          <w:r>
            <w:tab/>
          </w:r>
          <w:r>
            <w:fldChar w:fldCharType="begin"/>
          </w:r>
          <w:r>
            <w:instrText xml:space="preserve"> PAGEREF _Toc19155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"_Toc18986"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1.分行业门类人工成本效益</w:t>
          </w:r>
          <w:r>
            <w:tab/>
          </w:r>
          <w:r>
            <w:fldChar w:fldCharType="begin"/>
          </w:r>
          <w:r>
            <w:instrText xml:space="preserve"> PAGEREF _Toc18986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"_Toc4467" </w:instrText>
          </w:r>
          <w:r>
            <w:fldChar w:fldCharType="separate"/>
          </w:r>
          <w:r>
            <w:rPr>
              <w:rFonts w:ascii="仿宋" w:hAnsi="仿宋" w:eastAsia="仿宋" w:cs="仿宋"/>
              <w:szCs w:val="32"/>
            </w:rPr>
            <w:t>2</w:t>
          </w:r>
          <w:r>
            <w:rPr>
              <w:rFonts w:hint="eastAsia" w:ascii="仿宋" w:hAnsi="仿宋" w:eastAsia="仿宋" w:cs="仿宋"/>
              <w:szCs w:val="32"/>
            </w:rPr>
            <w:t>.分登记注册类型人工成本效益</w:t>
          </w:r>
          <w:r>
            <w:tab/>
          </w:r>
          <w:r>
            <w:fldChar w:fldCharType="begin"/>
          </w:r>
          <w:r>
            <w:instrText xml:space="preserve"> PAGEREF _Toc4467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"_Toc21152"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3.分企业规模人工成本效益</w:t>
          </w:r>
          <w:r>
            <w:tab/>
          </w:r>
          <w:r>
            <w:fldChar w:fldCharType="begin"/>
          </w:r>
          <w:r>
            <w:instrText xml:space="preserve"> PAGEREF _Toc21152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5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"_Toc21805"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附件二：企业薪酬调查问卷及主要统计指标解释</w:t>
          </w:r>
          <w:r>
            <w:tab/>
          </w:r>
          <w:r>
            <w:fldChar w:fldCharType="begin"/>
          </w:r>
          <w:r>
            <w:instrText xml:space="preserve"> PAGEREF _Toc21805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"_Toc6584" </w:instrText>
          </w:r>
          <w:r>
            <w:fldChar w:fldCharType="separate"/>
          </w:r>
          <w:r>
            <w:rPr>
              <w:rFonts w:ascii="楷体_GB2312" w:hAnsi="仿宋" w:eastAsia="楷体_GB2312" w:cs="仿宋"/>
            </w:rPr>
            <w:t>（一）</w:t>
          </w:r>
          <w:r>
            <w:rPr>
              <w:rFonts w:hint="eastAsia" w:ascii="楷体_GB2312" w:hAnsi="仿宋" w:eastAsia="楷体_GB2312" w:cs="仿宋"/>
            </w:rPr>
            <w:t>调查问卷</w:t>
          </w:r>
          <w:r>
            <w:tab/>
          </w:r>
          <w:r>
            <w:fldChar w:fldCharType="begin"/>
          </w:r>
          <w:r>
            <w:instrText xml:space="preserve"> PAGEREF _Toc6584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"_Toc19506"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（二）主要统计指标解释</w:t>
          </w:r>
          <w:r>
            <w:tab/>
          </w:r>
          <w:r>
            <w:fldChar w:fldCharType="begin"/>
          </w:r>
          <w:r>
            <w:instrText xml:space="preserve"> PAGEREF _Toc19506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keepNext/>
            <w:keepLines/>
            <w:spacing w:line="520" w:lineRule="exact"/>
            <w:jc w:val="center"/>
            <w:rPr>
              <w:rFonts w:ascii="黑体" w:hAnsi="黑体" w:eastAsia="黑体"/>
              <w:sz w:val="44"/>
              <w:szCs w:val="44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ascii="黑体" w:hAnsi="黑体" w:eastAsia="黑体"/>
              <w:szCs w:val="44"/>
            </w:rPr>
            <w:fldChar w:fldCharType="end"/>
          </w:r>
        </w:p>
      </w:sdtContent>
    </w:sdt>
    <w:p>
      <w:pPr>
        <w:pStyle w:val="2"/>
        <w:spacing w:line="560" w:lineRule="exact"/>
        <w:jc w:val="left"/>
        <w:rPr>
          <w:rFonts w:ascii="黑体" w:hAnsi="黑体" w:eastAsia="黑体"/>
          <w:b w:val="0"/>
          <w:bCs w:val="0"/>
        </w:rPr>
      </w:pPr>
      <w:bookmarkStart w:id="0" w:name="_Toc1768"/>
      <w:bookmarkStart w:id="1" w:name="_Toc21182"/>
      <w:r>
        <w:rPr>
          <w:rFonts w:hint="eastAsia" w:ascii="黑体" w:hAnsi="黑体" w:eastAsia="黑体"/>
          <w:b w:val="0"/>
          <w:bCs w:val="0"/>
        </w:rPr>
        <w:t>附件一：</w:t>
      </w:r>
      <w:r>
        <w:rPr>
          <w:rFonts w:ascii="黑体" w:hAnsi="黑体" w:eastAsia="黑体"/>
          <w:b w:val="0"/>
          <w:bCs w:val="0"/>
        </w:rPr>
        <w:t>随州市</w:t>
      </w:r>
      <w:r>
        <w:rPr>
          <w:rFonts w:hint="eastAsia" w:ascii="黑体" w:hAnsi="黑体" w:eastAsia="黑体"/>
          <w:b w:val="0"/>
          <w:bCs w:val="0"/>
        </w:rPr>
        <w:t>2022年企业薪酬调查信息</w:t>
      </w:r>
      <w:bookmarkEnd w:id="0"/>
    </w:p>
    <w:p>
      <w:pPr>
        <w:pStyle w:val="3"/>
        <w:rPr>
          <w:rFonts w:ascii="黑体" w:hAnsi="黑体" w:eastAsia="黑体"/>
          <w:b w:val="0"/>
          <w:bCs w:val="0"/>
        </w:rPr>
      </w:pPr>
      <w:bookmarkStart w:id="2" w:name="_Toc7365"/>
      <w:r>
        <w:rPr>
          <w:rFonts w:hint="eastAsia" w:ascii="黑体" w:hAnsi="黑体" w:eastAsia="黑体" w:cs="楷体"/>
          <w:b w:val="0"/>
          <w:bCs w:val="0"/>
        </w:rPr>
        <w:t>一 、从业人员工资报酬数据</w:t>
      </w:r>
      <w:bookmarkEnd w:id="2"/>
      <w:r>
        <w:rPr>
          <w:rFonts w:hint="eastAsia" w:ascii="黑体" w:hAnsi="黑体" w:eastAsia="黑体"/>
          <w:b w:val="0"/>
          <w:bCs w:val="0"/>
        </w:rPr>
        <w:tab/>
      </w:r>
    </w:p>
    <w:p>
      <w:pPr>
        <w:pStyle w:val="4"/>
        <w:rPr>
          <w:rFonts w:ascii="楷体_GB2312" w:hAnsi="仿宋" w:eastAsia="楷体_GB2312" w:cs="仿宋"/>
          <w:color w:val="000000"/>
        </w:rPr>
      </w:pPr>
      <w:bookmarkStart w:id="3" w:name="_Toc5873"/>
      <w:r>
        <w:rPr>
          <w:rFonts w:hint="eastAsia" w:ascii="楷体_GB2312" w:hAnsi="仿宋" w:eastAsia="楷体_GB2312" w:cs="仿宋"/>
          <w:color w:val="000000"/>
        </w:rPr>
        <w:t>（一）整体工资报酬信息</w:t>
      </w:r>
      <w:bookmarkEnd w:id="3"/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4" w:name="_Toc5274"/>
      <w:r>
        <w:rPr>
          <w:rFonts w:hint="eastAsia" w:ascii="仿宋" w:hAnsi="仿宋" w:eastAsia="仿宋" w:cs="仿宋"/>
          <w:color w:val="000000"/>
          <w:sz w:val="32"/>
          <w:szCs w:val="32"/>
        </w:rPr>
        <w:t>1.分行业工资报酬信息</w:t>
      </w:r>
      <w:bookmarkEnd w:id="4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分行业门类企业从业人员工资价位（202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74"/>
        <w:gridCol w:w="984"/>
        <w:gridCol w:w="984"/>
        <w:gridCol w:w="984"/>
        <w:gridCol w:w="984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行业门类</w:t>
            </w:r>
          </w:p>
        </w:tc>
        <w:tc>
          <w:tcPr>
            <w:tcW w:w="25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随州市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35165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59400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76183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农、林、牧、渔业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35149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45348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采矿业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36146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63017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73849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30460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44390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50632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106005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57960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批发和零售业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26284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33205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37854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交通运输、仓储和邮政业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36305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56300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住宿和餐饮业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28927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72000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信息传输、软件和信息技术服务业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116108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164375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48096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92862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144759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194767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房地产业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租赁和商务服务业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50674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科学研究和技术服务业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40649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44722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72085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90732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水利、环境和公共设施管理业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38386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44247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54003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74000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100990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居民服务、修理和其他服务业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55378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26857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28705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37262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卫生和社会工作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46233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68040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103532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文化、体育和娱乐业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65200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92000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5" w:name="_Toc14537"/>
      <w:r>
        <w:rPr>
          <w:rFonts w:hint="eastAsia" w:ascii="仿宋" w:hAnsi="仿宋" w:eastAsia="仿宋" w:cs="仿宋"/>
          <w:color w:val="000000"/>
          <w:sz w:val="32"/>
          <w:szCs w:val="32"/>
        </w:rPr>
        <w:t>2.分登记注册类型工资报酬信息</w:t>
      </w:r>
      <w:bookmarkEnd w:id="5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分登记注册类型企业从业人员工资价位（202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74"/>
        <w:gridCol w:w="984"/>
        <w:gridCol w:w="984"/>
        <w:gridCol w:w="984"/>
        <w:gridCol w:w="984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登记注册类型</w:t>
            </w:r>
          </w:p>
        </w:tc>
        <w:tc>
          <w:tcPr>
            <w:tcW w:w="25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35200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59235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75402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集体企业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股份合作企业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有限责任公司（含国有独资公司）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57506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71125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67700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100450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其他内资企业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51000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69846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港、澳、台商投资企业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26800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31800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36321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89731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6" w:name="_Toc4013"/>
      <w:r>
        <w:rPr>
          <w:rFonts w:hint="eastAsia" w:ascii="仿宋" w:hAnsi="仿宋" w:eastAsia="仿宋" w:cs="仿宋"/>
          <w:color w:val="000000"/>
          <w:sz w:val="32"/>
          <w:szCs w:val="32"/>
        </w:rPr>
        <w:t>3.分企业规模工资报酬信息</w:t>
      </w:r>
      <w:bookmarkEnd w:id="6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分企业规模企业从业人员工资价位（202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74"/>
        <w:gridCol w:w="984"/>
        <w:gridCol w:w="984"/>
        <w:gridCol w:w="984"/>
        <w:gridCol w:w="984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企业规模</w:t>
            </w:r>
          </w:p>
        </w:tc>
        <w:tc>
          <w:tcPr>
            <w:tcW w:w="25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大型企业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33205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39280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50095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71800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98566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中型企业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31206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47736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64200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93137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小型企业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35430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44681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59448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74975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微型企业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27428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31412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39425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61008 </w:t>
            </w:r>
          </w:p>
        </w:tc>
      </w:tr>
    </w:tbl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7" w:name="_Toc12250"/>
      <w:r>
        <w:rPr>
          <w:rFonts w:hint="eastAsia" w:ascii="仿宋" w:hAnsi="仿宋" w:eastAsia="仿宋" w:cs="仿宋"/>
          <w:color w:val="000000"/>
          <w:sz w:val="32"/>
          <w:szCs w:val="32"/>
        </w:rPr>
        <w:t>4.分学历工资报酬信息</w:t>
      </w:r>
      <w:bookmarkEnd w:id="7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分学历企业从业人员工资价位（202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74"/>
        <w:gridCol w:w="984"/>
        <w:gridCol w:w="984"/>
        <w:gridCol w:w="984"/>
        <w:gridCol w:w="984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学历</w:t>
            </w:r>
          </w:p>
        </w:tc>
        <w:tc>
          <w:tcPr>
            <w:tcW w:w="25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研究生(含博士、硕士)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89577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116800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177172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46100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130942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大学专科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46585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84000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高中、中专或技校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28980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56196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初中及以下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41534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53520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63600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8" w:name="_Toc21302"/>
      <w:r>
        <w:rPr>
          <w:rFonts w:hint="eastAsia" w:ascii="仿宋" w:hAnsi="仿宋" w:eastAsia="仿宋" w:cs="仿宋"/>
          <w:color w:val="000000"/>
          <w:sz w:val="32"/>
          <w:szCs w:val="32"/>
        </w:rPr>
        <w:t>5.分岗位等级工资报酬信息</w:t>
      </w:r>
      <w:bookmarkEnd w:id="8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分岗位等级企业从业人员工资价位（202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74"/>
        <w:gridCol w:w="984"/>
        <w:gridCol w:w="984"/>
        <w:gridCol w:w="984"/>
        <w:gridCol w:w="984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岗位等级</w:t>
            </w:r>
          </w:p>
        </w:tc>
        <w:tc>
          <w:tcPr>
            <w:tcW w:w="25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管理类岗位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39820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51356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69500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102000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高层管理岗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39316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83164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122000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中层管理岗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基层管理岗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34645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39100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40240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84890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管理类员工岗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32942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39910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53157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48480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64210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91360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高级职称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97356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中级职称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76052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97930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初级职称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32987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37536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49443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64060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87252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没有取得专业技术职称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27840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60212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79070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职业技能岗位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28800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33739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52166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65173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高级技师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46957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52740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68393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83263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94224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技师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45496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59293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68393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84032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高级技能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33480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39100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50354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64700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中级技能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46895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69785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初级技能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33187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没有取得职业资格证书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24699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48986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61000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4"/>
        <w:rPr>
          <w:rFonts w:ascii="楷体_GB2312" w:hAnsi="仿宋" w:eastAsia="楷体_GB2312" w:cs="仿宋"/>
          <w:color w:val="000000"/>
        </w:rPr>
      </w:pPr>
      <w:bookmarkStart w:id="9" w:name="_Toc17963"/>
      <w:r>
        <w:rPr>
          <w:rFonts w:hint="eastAsia" w:ascii="楷体_GB2312" w:hAnsi="仿宋" w:eastAsia="楷体_GB2312" w:cs="仿宋"/>
          <w:color w:val="000000"/>
        </w:rPr>
        <w:t>（二）分职业工资报酬信息</w:t>
      </w:r>
      <w:bookmarkEnd w:id="9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/>
        </w:rPr>
        <w:tab/>
      </w: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分职业企业从业人员工资价位（202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50"/>
        <w:gridCol w:w="988"/>
        <w:gridCol w:w="988"/>
        <w:gridCol w:w="988"/>
        <w:gridCol w:w="988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职业</w:t>
            </w:r>
          </w:p>
        </w:tc>
        <w:tc>
          <w:tcPr>
            <w:tcW w:w="25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43200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57247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72000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109800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企业单位负责人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43215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72000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110135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企业负责人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43215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72000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110135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企业董事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39846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企业经理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43026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48480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64210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91360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40770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66763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93252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89576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信息和通信工程技术人员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37383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38660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61859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90500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土木建筑工程技术人员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54679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88200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97500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63979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83200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安全生产管理工程技术人员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64064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83200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管理（工业）工程技术人员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34230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56150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61315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79800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检验检疫工程技术人员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54821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66354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70556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产品质量检验工程技术人员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54821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66354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70556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卫生专业技术人员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24700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28700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40357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57492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护理人员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24700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35700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44918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外科护士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52032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58041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经济和金融专业人员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86862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55816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商务专业人员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27840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32504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78600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113026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市场营销专业人员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32771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47936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93266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119792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59441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71964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92992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157404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信贷审核专业人员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54225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109382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150191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169218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214704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保险专业人员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51533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60300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77117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97417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120554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保险核保专业人员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42948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48096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52919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77056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105141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26279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29280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36800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幼儿园教师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25834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27381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28368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31584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其他专业技术人员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81424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94094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办事人员和有关人员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39600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71179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行政办事及辅助人员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34645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51511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行政事务处理人员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39097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55700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后勤管理员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40350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55700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其他行政办事及辅助人员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41008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54166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98640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其他办事人员和有关人员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32040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35462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社会生产服务和生活服务人员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27428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37290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47200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60500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批发与零售服务人员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27428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35838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44512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55965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销售人员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46032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58060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营销员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52331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商品营业员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26340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34663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43692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收银员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26512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34202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36386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交通运输、仓储物流和邮政业服务人员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道路运输服务人员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28870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36498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46131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58499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道路货运汽车驾驶员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46895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76090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道路客运服务员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25810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28300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30980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35957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40635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道路运输调度员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装卸搬运和运输代理服务人员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58817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装卸搬运工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58141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59949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仓储物流服务人员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32171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38380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43413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仓储管理员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32880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理货员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32122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36643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39956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住宿和餐饮服务人员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29450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餐饮服务人员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28872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中式烹调师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其他住宿和餐饮服务人员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信息传输、软件和信息技术服务人员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33937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44840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89575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110482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47439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53054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90669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144998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190163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49359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56528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115203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156829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199865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银行综合柜员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45938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49889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56529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129389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157879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银行信贷员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83522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130849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162235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200077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249091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银行客户业务员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84884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106848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130351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167938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220026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租赁和商务服务人员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50160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安全保护服务人员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27024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35097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42156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46800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52560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保安员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35133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市场管理服务人员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28165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33183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35674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技术辅助服务人员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44019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46020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53249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69800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居民服务人员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29280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其他社会生产服务和生活服务人员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32940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38700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45480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农、林、牧、渔业生产及辅助人员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43246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44233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46250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农业生产人员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39559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44205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生产制造及有关人员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59825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70200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食品、饮料生产加工人员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68540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73653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81601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纺织品、服装和皮革、毛皮制品加工制作人员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34900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非金属矿物制品制造人员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24545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28876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61310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水泥、石灰、石膏及其制品制造人员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24156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28561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35876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41800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67494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建筑施工人员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44098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53520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建筑安装施工人员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39458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43144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44720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46772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运输设备和通用工程机械操作人员及有关人员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46325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48510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58800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60887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生产辅助人员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49245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机械设备修理人员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33895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66330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76958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98175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机修钳工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67966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70353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76308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86669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100223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电工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63860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76958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88673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检验试验人员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40186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65632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质检员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29874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67824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称重计量工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64226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67541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29752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32565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37065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51000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65059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其他生产辅助人员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63057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其他生产制造及有关人员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34953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41551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49676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63733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73942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3"/>
        <w:rPr>
          <w:rFonts w:ascii="黑体" w:hAnsi="黑体" w:eastAsia="黑体" w:cs="楷体"/>
          <w:b w:val="0"/>
          <w:bCs w:val="0"/>
        </w:rPr>
      </w:pPr>
      <w:bookmarkStart w:id="10" w:name="_Toc23585"/>
      <w:r>
        <w:rPr>
          <w:rFonts w:hint="eastAsia" w:ascii="黑体" w:hAnsi="黑体" w:eastAsia="黑体" w:cs="楷体"/>
          <w:b w:val="0"/>
          <w:bCs w:val="0"/>
        </w:rPr>
        <w:t>二 、企业人工成本数据</w:t>
      </w:r>
      <w:bookmarkEnd w:id="10"/>
      <w:r>
        <w:rPr>
          <w:rFonts w:hint="eastAsia" w:ascii="黑体" w:hAnsi="黑体" w:eastAsia="黑体" w:cs="楷体"/>
          <w:b w:val="0"/>
          <w:bCs w:val="0"/>
        </w:rPr>
        <w:tab/>
      </w:r>
    </w:p>
    <w:p>
      <w:pPr>
        <w:pStyle w:val="4"/>
        <w:rPr>
          <w:rFonts w:ascii="楷体_GB2312" w:hAnsi="仿宋" w:eastAsia="楷体_GB2312" w:cs="仿宋"/>
          <w:color w:val="000000"/>
        </w:rPr>
      </w:pPr>
      <w:bookmarkStart w:id="11" w:name="_Toc31726"/>
      <w:r>
        <w:rPr>
          <w:rFonts w:hint="eastAsia" w:ascii="楷体_GB2312" w:hAnsi="仿宋" w:eastAsia="楷体_GB2312" w:cs="仿宋"/>
          <w:color w:val="000000"/>
        </w:rPr>
        <w:t>（一）人工成本水平</w:t>
      </w:r>
      <w:bookmarkEnd w:id="11"/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2" w:name="_Toc11500"/>
      <w:r>
        <w:rPr>
          <w:rFonts w:hint="eastAsia" w:ascii="仿宋" w:hAnsi="仿宋" w:eastAsia="仿宋" w:cs="仿宋"/>
          <w:color w:val="000000"/>
          <w:sz w:val="32"/>
          <w:szCs w:val="32"/>
        </w:rPr>
        <w:t>1.分行业门类人工成本水平</w:t>
      </w:r>
      <w:bookmarkEnd w:id="12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分行业门类企业人均人工成本水平（202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单位：万元/年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014"/>
        <w:gridCol w:w="1008"/>
        <w:gridCol w:w="1008"/>
        <w:gridCol w:w="1008"/>
        <w:gridCol w:w="100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行业门类</w:t>
            </w:r>
          </w:p>
        </w:tc>
        <w:tc>
          <w:tcPr>
            <w:tcW w:w="25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2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随州市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3.53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4.60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5.59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7.29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8.95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农、林、牧、渔业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3.55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4.48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5.25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6.98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3.90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5.08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5.51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7.06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3.38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4.91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5.77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8.11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批发和零售业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3.53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6.81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交通运输、仓储和邮政业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3.83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5.23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6.70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6.61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9.33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16.84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21.85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3" w:name="_Toc2164"/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.分登记注册类型人工成本水平</w:t>
      </w:r>
      <w:bookmarkEnd w:id="13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分登记注册类型企业人均人工成本水平（202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单位：万元/年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014"/>
        <w:gridCol w:w="1008"/>
        <w:gridCol w:w="1008"/>
        <w:gridCol w:w="1008"/>
        <w:gridCol w:w="100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登记注册类型</w:t>
            </w:r>
          </w:p>
        </w:tc>
        <w:tc>
          <w:tcPr>
            <w:tcW w:w="25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2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3.53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4.60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5.56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7.29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8.95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有限责任公司（含国有独资公司）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4.26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5.56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7.29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3.86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8.49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3.81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4.60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5.29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7.67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4" w:name="_Toc2881"/>
      <w:r>
        <w:rPr>
          <w:rFonts w:hint="eastAsia" w:ascii="仿宋" w:hAnsi="仿宋" w:eastAsia="仿宋" w:cs="仿宋"/>
          <w:color w:val="000000"/>
          <w:sz w:val="32"/>
          <w:szCs w:val="32"/>
        </w:rPr>
        <w:t>3.分企业规模人工成本水平</w:t>
      </w:r>
      <w:bookmarkEnd w:id="14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分企业规模企业人均人工成本水平（202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单位：万元/年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014"/>
        <w:gridCol w:w="1008"/>
        <w:gridCol w:w="1008"/>
        <w:gridCol w:w="1008"/>
        <w:gridCol w:w="100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企业规模</w:t>
            </w:r>
          </w:p>
        </w:tc>
        <w:tc>
          <w:tcPr>
            <w:tcW w:w="25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2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中型企业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6.43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8.63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小型企业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3.87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5.01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6.31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7.59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微型企业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3.86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6.31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7.63 </w:t>
            </w:r>
          </w:p>
        </w:tc>
      </w:tr>
    </w:tbl>
    <w:p>
      <w:pPr>
        <w:pStyle w:val="4"/>
        <w:rPr>
          <w:rFonts w:ascii="楷体_GB2312" w:hAnsi="仿宋" w:eastAsia="楷体_GB2312" w:cs="仿宋"/>
          <w:color w:val="000000"/>
        </w:rPr>
      </w:pPr>
      <w:bookmarkStart w:id="15" w:name="_Toc24537"/>
      <w:r>
        <w:rPr>
          <w:rFonts w:hint="eastAsia" w:ascii="楷体_GB2312" w:hAnsi="仿宋" w:eastAsia="楷体_GB2312" w:cs="仿宋"/>
          <w:color w:val="000000"/>
        </w:rPr>
        <w:t>（二）人工成本构成</w:t>
      </w:r>
      <w:bookmarkEnd w:id="15"/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6" w:name="_Toc13187"/>
      <w:r>
        <w:rPr>
          <w:rFonts w:hint="eastAsia" w:ascii="仿宋" w:hAnsi="仿宋" w:eastAsia="仿宋" w:cs="仿宋"/>
          <w:color w:val="000000"/>
          <w:sz w:val="32"/>
          <w:szCs w:val="32"/>
        </w:rPr>
        <w:t>1.分行业门类人工成本构成</w:t>
      </w:r>
      <w:bookmarkEnd w:id="16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分行业门类企业人工成本构成（202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723"/>
        <w:gridCol w:w="736"/>
        <w:gridCol w:w="736"/>
        <w:gridCol w:w="736"/>
        <w:gridCol w:w="736"/>
        <w:gridCol w:w="736"/>
        <w:gridCol w:w="736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1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行业门类</w:t>
            </w:r>
          </w:p>
        </w:tc>
        <w:tc>
          <w:tcPr>
            <w:tcW w:w="26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1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从业人员工资总额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福利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经费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劳动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保护费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住房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其他人工成本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随州市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76.68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4.53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14.32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1.64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农、林、牧、渔业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83.26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3.30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9.25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0.88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79.74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4.20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1.11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12.00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0.91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1.16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74.26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3.11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2.21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14.14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1.54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4.01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批发和零售业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72.75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6.97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17.03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1.21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交通运输、仓储和邮政业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82.68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3.61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10.31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2.07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71.40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5.06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16.30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4.16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1.83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7" w:name="_Toc19168"/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.分登记注册类型人工成本构成</w:t>
      </w:r>
      <w:bookmarkEnd w:id="17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分登记注册类型企业人工成本构成（202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723"/>
        <w:gridCol w:w="736"/>
        <w:gridCol w:w="736"/>
        <w:gridCol w:w="736"/>
        <w:gridCol w:w="736"/>
        <w:gridCol w:w="736"/>
        <w:gridCol w:w="736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1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登记注册类型</w:t>
            </w:r>
          </w:p>
        </w:tc>
        <w:tc>
          <w:tcPr>
            <w:tcW w:w="26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1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从业人员工资总额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福利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经费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劳动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保护费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住房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其他人工成本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77.89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3.50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0.92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14.38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1.58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有限责任公司（含国有独资公司）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78.52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2.83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14.77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1.58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73.01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3.17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1.62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18.29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0.37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2.58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81.82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4.73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10.28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1.41 </w:t>
            </w:r>
          </w:p>
        </w:tc>
      </w:tr>
    </w:tbl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8" w:name="_Toc31148"/>
      <w:r>
        <w:rPr>
          <w:rFonts w:hint="eastAsia" w:ascii="仿宋" w:hAnsi="仿宋" w:eastAsia="仿宋" w:cs="仿宋"/>
          <w:color w:val="000000"/>
          <w:sz w:val="32"/>
          <w:szCs w:val="32"/>
        </w:rPr>
        <w:t>3.分企业规模人工成本构成</w:t>
      </w:r>
      <w:bookmarkEnd w:id="18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分企业规模企业人工成本构成（202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723"/>
        <w:gridCol w:w="736"/>
        <w:gridCol w:w="736"/>
        <w:gridCol w:w="736"/>
        <w:gridCol w:w="736"/>
        <w:gridCol w:w="736"/>
        <w:gridCol w:w="736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1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企业规模</w:t>
            </w:r>
          </w:p>
        </w:tc>
        <w:tc>
          <w:tcPr>
            <w:tcW w:w="26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1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从业人员工资总额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福利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经费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劳动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保护费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住房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其他人工成本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中型企业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73.55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4.93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1.13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16.06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2.37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小型企业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78.14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3.08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1.11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14.43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微型企业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80.83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3.71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0.33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12.08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1.82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4"/>
        <w:rPr>
          <w:rFonts w:ascii="楷体_GB2312" w:hAnsi="仿宋" w:eastAsia="楷体_GB2312" w:cs="仿宋"/>
          <w:color w:val="000000"/>
        </w:rPr>
      </w:pPr>
      <w:bookmarkStart w:id="19" w:name="_Toc19155"/>
      <w:r>
        <w:rPr>
          <w:rFonts w:hint="eastAsia" w:ascii="楷体_GB2312" w:hAnsi="仿宋" w:eastAsia="楷体_GB2312" w:cs="仿宋"/>
          <w:color w:val="000000"/>
        </w:rPr>
        <w:t>（三）人工成本效益</w:t>
      </w:r>
      <w:bookmarkEnd w:id="19"/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20" w:name="_Toc18986"/>
      <w:r>
        <w:rPr>
          <w:rFonts w:hint="eastAsia" w:ascii="仿宋" w:hAnsi="仿宋" w:eastAsia="仿宋" w:cs="仿宋"/>
          <w:color w:val="000000"/>
          <w:sz w:val="32"/>
          <w:szCs w:val="32"/>
        </w:rPr>
        <w:t>1.分行业门类人工成本效益</w:t>
      </w:r>
      <w:bookmarkEnd w:id="20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分行业门类企业人工成本效益（202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633"/>
        <w:gridCol w:w="1480"/>
        <w:gridCol w:w="1480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行业门类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人工成本占总成本比重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人事费用率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人工成本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利润率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随州市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12.41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10.48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131.88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农、林、牧、渔业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14.25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8.30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114.51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7.93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8.44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9.31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7.42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331.41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批发和零售业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10.28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7.87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282.23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交通运输、仓储和邮政业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12.81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12.06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18.64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12.41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8.38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-59.01 </w:t>
            </w:r>
          </w:p>
        </w:tc>
      </w:tr>
    </w:tbl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21" w:name="_Toc4467"/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.分登记注册类型人工成本效益</w:t>
      </w:r>
      <w:bookmarkEnd w:id="21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分登记注册类型企业人工成本效益（202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633"/>
        <w:gridCol w:w="1480"/>
        <w:gridCol w:w="1480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登记注册类型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人工成本占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总成本比重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人事费用率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利润率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12.45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10.48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135.92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有限责任公司（含国有独资公司）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13.33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10.70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222.17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13.66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16.21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-10.99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9.38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7.92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51.29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22" w:name="_Toc21152"/>
      <w:r>
        <w:rPr>
          <w:rFonts w:hint="eastAsia" w:ascii="仿宋" w:hAnsi="仿宋" w:eastAsia="仿宋" w:cs="仿宋"/>
          <w:color w:val="000000"/>
          <w:sz w:val="32"/>
          <w:szCs w:val="32"/>
        </w:rPr>
        <w:t>3.分企业规模人工成本效益</w:t>
      </w:r>
      <w:bookmarkEnd w:id="22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分企业规模企业人工成本效益（202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633"/>
        <w:gridCol w:w="1480"/>
        <w:gridCol w:w="1480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企业规模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人工成本占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总成本比重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人事费用率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利润率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中型企业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8.04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6.29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小型企业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13.53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11.92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177.21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微型企业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15.45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13.45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126.35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bookmarkEnd w:id="1"/>
    <w:p>
      <w:bookmarkStart w:id="23" w:name="_Toc16121"/>
    </w:p>
    <w:p>
      <w:pPr>
        <w:widowControl/>
        <w:jc w:val="left"/>
        <w:rPr>
          <w:rFonts w:ascii="黑体" w:hAnsi="黑体" w:eastAsia="黑体"/>
          <w:kern w:val="44"/>
          <w:sz w:val="44"/>
          <w:szCs w:val="44"/>
        </w:rPr>
      </w:pPr>
      <w:r>
        <w:rPr>
          <w:rFonts w:ascii="黑体" w:hAnsi="黑体" w:eastAsia="黑体"/>
          <w:b/>
          <w:bCs/>
        </w:rPr>
        <w:br w:type="page"/>
      </w:r>
    </w:p>
    <w:p>
      <w:pPr>
        <w:pStyle w:val="2"/>
        <w:rPr>
          <w:rFonts w:ascii="黑体" w:hAnsi="黑体" w:eastAsia="黑体"/>
          <w:b w:val="0"/>
          <w:bCs w:val="0"/>
        </w:rPr>
      </w:pPr>
      <w:bookmarkStart w:id="24" w:name="_Toc21805"/>
      <w:r>
        <w:rPr>
          <w:rFonts w:hint="eastAsia" w:ascii="黑体" w:hAnsi="黑体" w:eastAsia="黑体"/>
          <w:b w:val="0"/>
          <w:bCs w:val="0"/>
        </w:rPr>
        <w:t>附件二：企业薪酬调查问卷及主要统计指标解释</w:t>
      </w:r>
      <w:bookmarkEnd w:id="24"/>
    </w:p>
    <w:bookmarkEnd w:id="23"/>
    <w:p>
      <w:pPr>
        <w:pStyle w:val="4"/>
        <w:numPr>
          <w:ilvl w:val="0"/>
          <w:numId w:val="1"/>
        </w:numPr>
        <w:rPr>
          <w:rFonts w:ascii="楷体_GB2312" w:hAnsi="仿宋" w:eastAsia="楷体_GB2312" w:cs="仿宋"/>
          <w:color w:val="000000"/>
        </w:rPr>
      </w:pPr>
      <w:bookmarkStart w:id="25" w:name="_Toc6584"/>
      <w:bookmarkStart w:id="26" w:name="_Toc143512157"/>
      <w:r>
        <w:rPr>
          <w:rFonts w:hint="eastAsia" w:ascii="楷体_GB2312" w:hAnsi="仿宋" w:eastAsia="楷体_GB2312" w:cs="仿宋"/>
          <w:color w:val="000000"/>
        </w:rPr>
        <w:t>调查问卷</w:t>
      </w:r>
      <w:bookmarkEnd w:id="25"/>
      <w:bookmarkEnd w:id="26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薪酬调查共包含《企业基本情况》、《企业人工成本情况》和《企业从业人员工资报酬情况》3张调查表，调查内容涵盖企业基本情况、企业主要经济指标、企业人工成本情况、企业从业人员情况及工资报酬情况。其中，企业人工成本包括从业人员工资报酬、福利费用、保险费用、教育经费、劳动保护费用、住房费用、其他人工成本7项指标；从业人员工资报酬包括基本工资（类）、绩效工资（类）、津补贴（类）、加班加点工资4项指标。</w:t>
      </w:r>
    </w:p>
    <w:p>
      <w:pPr>
        <w:pStyle w:val="4"/>
        <w:rPr>
          <w:rFonts w:ascii="楷体_GB2312" w:hAnsi="仿宋" w:eastAsia="楷体_GB2312" w:cs="仿宋"/>
          <w:color w:val="000000"/>
        </w:rPr>
      </w:pPr>
      <w:bookmarkStart w:id="27" w:name="_Toc10009"/>
      <w:bookmarkStart w:id="28" w:name="_Toc19506"/>
      <w:bookmarkStart w:id="29" w:name="_Toc143512158"/>
      <w:r>
        <w:rPr>
          <w:rFonts w:hint="eastAsia" w:ascii="楷体_GB2312" w:hAnsi="仿宋" w:eastAsia="楷体_GB2312" w:cs="仿宋"/>
          <w:color w:val="000000"/>
        </w:rPr>
        <w:t>（二）</w:t>
      </w:r>
      <w:bookmarkEnd w:id="27"/>
      <w:r>
        <w:rPr>
          <w:rFonts w:hint="eastAsia" w:ascii="楷体_GB2312" w:hAnsi="仿宋" w:eastAsia="楷体_GB2312" w:cs="仿宋"/>
          <w:color w:val="000000"/>
        </w:rPr>
        <w:t>主要统计指标解释</w:t>
      </w:r>
      <w:bookmarkEnd w:id="28"/>
      <w:bookmarkEnd w:id="29"/>
    </w:p>
    <w:p>
      <w:pPr>
        <w:widowControl/>
        <w:spacing w:line="480" w:lineRule="atLeast"/>
        <w:ind w:firstLine="643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分位值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是指将数据由低到高排序，在数列中处于相应百分比位置的数据。它表示有相应比例的数据低于或等于该数值。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企业从业人员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是指在本企业工作并取得劳动报酬的人员。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工资价位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是指企业从业人员在报告期内的工资水平，包括基本工资、奖金、津贴和补贴、加班加点工资和特殊情况下支付的工资等。它在一定程度上体现了劳动力市场价格水平。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职业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指从业人员为获取主要生活来源所从事的社会工作类别。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管理类岗位等级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指在管理岗位工作的人员在本企业岗位序列中的层级位置，包括高层管理岗、中层管理岗、基层管理岗和管理类员工岗。其中，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高层管理岗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是指处于企业最高领导层的岗位，包括董事长、总经理及副职等同级别的高层负责人；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中层管理岗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是指在企业一级部门或内设机构处于领导层的岗位，包括人力资源部门负责人、研发部门负责人等部门主要负责人及副职等同级别的中层负责人；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基层管理岗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是指在企业二级及以下部门或机构处于领导层的岗位，包括二级及以下部门/机构主要负责人及副职等同级别的基层负责人；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管理类员工岗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是指处于企业管理执行层的普通员工岗位。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技术类岗位等级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指获得国家或专业评审机构认可的专业技术职称等级，包括高级职称、中级职称、初级职称。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技能类岗位等级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指按国家职业技能标准或行业企业评价规范设置的职业技能等级，包括高级技师、技师</w:t>
      </w:r>
      <w:r>
        <w:rPr>
          <w:rFonts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高级技能、中级技能、初级技能。</w:t>
      </w:r>
    </w:p>
    <w:sectPr>
      <w:footerReference r:id="rId4" w:type="default"/>
      <w:pgSz w:w="11906" w:h="16838"/>
      <w:pgMar w:top="1440" w:right="1083" w:bottom="1440" w:left="108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Arial Regula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949845317"/>
                </w:sdtPr>
                <w:sdtContent>
                  <w:p>
                    <w:pPr>
                      <w:pStyle w:val="1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B445E"/>
    <w:multiLevelType w:val="multilevel"/>
    <w:tmpl w:val="246B445E"/>
    <w:lvl w:ilvl="0" w:tentative="0">
      <w:start w:val="1"/>
      <w:numFmt w:val="japaneseCounting"/>
      <w:lvlText w:val="（%1）"/>
      <w:lvlJc w:val="left"/>
      <w:pPr>
        <w:ind w:left="996" w:hanging="99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2NGQzNjQyY2Y5MTdhYWUwMjcyYjViMDNmNjlkMzcifQ=="/>
  </w:docVars>
  <w:rsids>
    <w:rsidRoot w:val="00DB712D"/>
    <w:rsid w:val="00013FD1"/>
    <w:rsid w:val="00035644"/>
    <w:rsid w:val="00053DCC"/>
    <w:rsid w:val="00063927"/>
    <w:rsid w:val="000721C7"/>
    <w:rsid w:val="0007310F"/>
    <w:rsid w:val="00091FDD"/>
    <w:rsid w:val="000D0766"/>
    <w:rsid w:val="000D4C38"/>
    <w:rsid w:val="000E083F"/>
    <w:rsid w:val="000E35EA"/>
    <w:rsid w:val="00137ABD"/>
    <w:rsid w:val="00184E9F"/>
    <w:rsid w:val="00193EB5"/>
    <w:rsid w:val="001B689B"/>
    <w:rsid w:val="001D4D7F"/>
    <w:rsid w:val="001D513C"/>
    <w:rsid w:val="001F1BD7"/>
    <w:rsid w:val="00236FE1"/>
    <w:rsid w:val="0024023E"/>
    <w:rsid w:val="0024229A"/>
    <w:rsid w:val="00251FF6"/>
    <w:rsid w:val="002703C1"/>
    <w:rsid w:val="00282226"/>
    <w:rsid w:val="002E5390"/>
    <w:rsid w:val="002E66B9"/>
    <w:rsid w:val="002F32B9"/>
    <w:rsid w:val="00302ECE"/>
    <w:rsid w:val="003034A1"/>
    <w:rsid w:val="0031541C"/>
    <w:rsid w:val="00357967"/>
    <w:rsid w:val="003644E0"/>
    <w:rsid w:val="003B11F4"/>
    <w:rsid w:val="003C6492"/>
    <w:rsid w:val="003E42A0"/>
    <w:rsid w:val="003E69FA"/>
    <w:rsid w:val="003E7C22"/>
    <w:rsid w:val="003F5E2C"/>
    <w:rsid w:val="003F6613"/>
    <w:rsid w:val="0042263D"/>
    <w:rsid w:val="00455B75"/>
    <w:rsid w:val="004764BC"/>
    <w:rsid w:val="00485E88"/>
    <w:rsid w:val="004B6A30"/>
    <w:rsid w:val="004C4761"/>
    <w:rsid w:val="004E6445"/>
    <w:rsid w:val="004E7EE0"/>
    <w:rsid w:val="004F1CCC"/>
    <w:rsid w:val="004F4184"/>
    <w:rsid w:val="00505FCC"/>
    <w:rsid w:val="005137F4"/>
    <w:rsid w:val="005234A1"/>
    <w:rsid w:val="0055547C"/>
    <w:rsid w:val="00565B6B"/>
    <w:rsid w:val="00573711"/>
    <w:rsid w:val="005A067B"/>
    <w:rsid w:val="0060155F"/>
    <w:rsid w:val="00606E4B"/>
    <w:rsid w:val="00616E04"/>
    <w:rsid w:val="00622C07"/>
    <w:rsid w:val="00633BCF"/>
    <w:rsid w:val="0065514C"/>
    <w:rsid w:val="00676E4D"/>
    <w:rsid w:val="00691D95"/>
    <w:rsid w:val="006A2B15"/>
    <w:rsid w:val="006A36BB"/>
    <w:rsid w:val="006A7160"/>
    <w:rsid w:val="006A7D58"/>
    <w:rsid w:val="006B75FB"/>
    <w:rsid w:val="006C3B50"/>
    <w:rsid w:val="006C619B"/>
    <w:rsid w:val="006D1E4D"/>
    <w:rsid w:val="006F291B"/>
    <w:rsid w:val="006F7C43"/>
    <w:rsid w:val="007140F9"/>
    <w:rsid w:val="00714999"/>
    <w:rsid w:val="0072096F"/>
    <w:rsid w:val="00764F02"/>
    <w:rsid w:val="007A22D0"/>
    <w:rsid w:val="007B0AEA"/>
    <w:rsid w:val="007D25BD"/>
    <w:rsid w:val="007D48E1"/>
    <w:rsid w:val="007E03A3"/>
    <w:rsid w:val="007F10D0"/>
    <w:rsid w:val="007F49A1"/>
    <w:rsid w:val="007F7A98"/>
    <w:rsid w:val="00812CE7"/>
    <w:rsid w:val="008143CB"/>
    <w:rsid w:val="00827B5A"/>
    <w:rsid w:val="008558EC"/>
    <w:rsid w:val="00856942"/>
    <w:rsid w:val="00863164"/>
    <w:rsid w:val="00890FFB"/>
    <w:rsid w:val="008C5B39"/>
    <w:rsid w:val="008D5914"/>
    <w:rsid w:val="008F02B9"/>
    <w:rsid w:val="008F1DD3"/>
    <w:rsid w:val="009103F1"/>
    <w:rsid w:val="00932356"/>
    <w:rsid w:val="009343A1"/>
    <w:rsid w:val="00943F9C"/>
    <w:rsid w:val="009449FD"/>
    <w:rsid w:val="00947F7C"/>
    <w:rsid w:val="00957459"/>
    <w:rsid w:val="009B59CD"/>
    <w:rsid w:val="009C35CC"/>
    <w:rsid w:val="009C5A77"/>
    <w:rsid w:val="009C6D5A"/>
    <w:rsid w:val="009E1854"/>
    <w:rsid w:val="009E775D"/>
    <w:rsid w:val="00A10676"/>
    <w:rsid w:val="00A27B97"/>
    <w:rsid w:val="00A35461"/>
    <w:rsid w:val="00A43AC1"/>
    <w:rsid w:val="00A500A9"/>
    <w:rsid w:val="00A55C72"/>
    <w:rsid w:val="00A57FE9"/>
    <w:rsid w:val="00A63158"/>
    <w:rsid w:val="00A66F4B"/>
    <w:rsid w:val="00A77A81"/>
    <w:rsid w:val="00A8621B"/>
    <w:rsid w:val="00A92101"/>
    <w:rsid w:val="00AE7308"/>
    <w:rsid w:val="00AF6948"/>
    <w:rsid w:val="00B05C86"/>
    <w:rsid w:val="00B2068D"/>
    <w:rsid w:val="00B23AAE"/>
    <w:rsid w:val="00B309F7"/>
    <w:rsid w:val="00BA0884"/>
    <w:rsid w:val="00BA247B"/>
    <w:rsid w:val="00BA3801"/>
    <w:rsid w:val="00BA5CC8"/>
    <w:rsid w:val="00BE7AB0"/>
    <w:rsid w:val="00C20F22"/>
    <w:rsid w:val="00C6517F"/>
    <w:rsid w:val="00CA244E"/>
    <w:rsid w:val="00CC6C81"/>
    <w:rsid w:val="00CD2066"/>
    <w:rsid w:val="00CD30A0"/>
    <w:rsid w:val="00CD475E"/>
    <w:rsid w:val="00CE6095"/>
    <w:rsid w:val="00CF2569"/>
    <w:rsid w:val="00D00750"/>
    <w:rsid w:val="00D2015D"/>
    <w:rsid w:val="00D27CD7"/>
    <w:rsid w:val="00D40FCC"/>
    <w:rsid w:val="00D41551"/>
    <w:rsid w:val="00D41F45"/>
    <w:rsid w:val="00D451C6"/>
    <w:rsid w:val="00D53514"/>
    <w:rsid w:val="00D60794"/>
    <w:rsid w:val="00D7119E"/>
    <w:rsid w:val="00D75287"/>
    <w:rsid w:val="00D87111"/>
    <w:rsid w:val="00D93296"/>
    <w:rsid w:val="00DA1AA9"/>
    <w:rsid w:val="00DB712D"/>
    <w:rsid w:val="00DE134C"/>
    <w:rsid w:val="00DE390D"/>
    <w:rsid w:val="00E27235"/>
    <w:rsid w:val="00E301D5"/>
    <w:rsid w:val="00E51449"/>
    <w:rsid w:val="00E621E1"/>
    <w:rsid w:val="00E73B57"/>
    <w:rsid w:val="00E809F5"/>
    <w:rsid w:val="00E81064"/>
    <w:rsid w:val="00E95DC7"/>
    <w:rsid w:val="00EA5E3D"/>
    <w:rsid w:val="00EC6B6D"/>
    <w:rsid w:val="00EE05A7"/>
    <w:rsid w:val="00EE6617"/>
    <w:rsid w:val="00EF7419"/>
    <w:rsid w:val="00F1411B"/>
    <w:rsid w:val="00F14272"/>
    <w:rsid w:val="00F17F6F"/>
    <w:rsid w:val="00F27B3D"/>
    <w:rsid w:val="00F32751"/>
    <w:rsid w:val="00F35217"/>
    <w:rsid w:val="00F54E3A"/>
    <w:rsid w:val="00F56BFA"/>
    <w:rsid w:val="00F5785F"/>
    <w:rsid w:val="00F57BA9"/>
    <w:rsid w:val="00F672BF"/>
    <w:rsid w:val="00F67664"/>
    <w:rsid w:val="00F95EE3"/>
    <w:rsid w:val="00FB3A53"/>
    <w:rsid w:val="00FC0D22"/>
    <w:rsid w:val="08FE29ED"/>
    <w:rsid w:val="0D9D28A0"/>
    <w:rsid w:val="13D21DEB"/>
    <w:rsid w:val="201A27C1"/>
    <w:rsid w:val="214A333A"/>
    <w:rsid w:val="23BD1CFB"/>
    <w:rsid w:val="2476200C"/>
    <w:rsid w:val="2D5451DF"/>
    <w:rsid w:val="2FD76162"/>
    <w:rsid w:val="2FFD3C93"/>
    <w:rsid w:val="31480914"/>
    <w:rsid w:val="325B0FBD"/>
    <w:rsid w:val="334006CA"/>
    <w:rsid w:val="349169A2"/>
    <w:rsid w:val="368928FD"/>
    <w:rsid w:val="38D01C40"/>
    <w:rsid w:val="3949506F"/>
    <w:rsid w:val="3A934CC8"/>
    <w:rsid w:val="3F1E6A1A"/>
    <w:rsid w:val="3FEDDECB"/>
    <w:rsid w:val="453054E1"/>
    <w:rsid w:val="46431971"/>
    <w:rsid w:val="466E2929"/>
    <w:rsid w:val="487479AB"/>
    <w:rsid w:val="4994601C"/>
    <w:rsid w:val="4C4D1186"/>
    <w:rsid w:val="4C5740F5"/>
    <w:rsid w:val="4E846080"/>
    <w:rsid w:val="543A10E0"/>
    <w:rsid w:val="546672AB"/>
    <w:rsid w:val="5B0F7498"/>
    <w:rsid w:val="5B23538A"/>
    <w:rsid w:val="5C865922"/>
    <w:rsid w:val="5EFDA516"/>
    <w:rsid w:val="605F260E"/>
    <w:rsid w:val="60DA02C9"/>
    <w:rsid w:val="612E53E8"/>
    <w:rsid w:val="638132A0"/>
    <w:rsid w:val="64CD4C0A"/>
    <w:rsid w:val="6A631B5E"/>
    <w:rsid w:val="6B5D70E6"/>
    <w:rsid w:val="7060663E"/>
    <w:rsid w:val="70933BD8"/>
    <w:rsid w:val="71C53944"/>
    <w:rsid w:val="741E51AD"/>
    <w:rsid w:val="76634BE1"/>
    <w:rsid w:val="779C58AE"/>
    <w:rsid w:val="7BED5878"/>
    <w:rsid w:val="7D206B61"/>
    <w:rsid w:val="7FA57E67"/>
    <w:rsid w:val="7FCC4BA8"/>
    <w:rsid w:val="F577C47D"/>
    <w:rsid w:val="FDB82877"/>
    <w:rsid w:val="FDEB959B"/>
    <w:rsid w:val="FEDCC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Document Map"/>
    <w:basedOn w:val="1"/>
    <w:link w:val="70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65"/>
    <w:semiHidden/>
    <w:unhideWhenUsed/>
    <w:qFormat/>
    <w:uiPriority w:val="99"/>
    <w:pPr>
      <w:jc w:val="left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Date"/>
    <w:basedOn w:val="1"/>
    <w:next w:val="1"/>
    <w:link w:val="67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华文楷体" w:hAnsi="华文楷体" w:eastAsia="华文楷体" w:cs="Arial"/>
      <w:b/>
      <w:kern w:val="0"/>
      <w:sz w:val="28"/>
      <w:szCs w:val="30"/>
    </w:rPr>
  </w:style>
  <w:style w:type="paragraph" w:styleId="15">
    <w:name w:val="toc 2"/>
    <w:basedOn w:val="1"/>
    <w:next w:val="1"/>
    <w:unhideWhenUsed/>
    <w:qFormat/>
    <w:uiPriority w:val="39"/>
    <w:pPr>
      <w:tabs>
        <w:tab w:val="left" w:pos="1260"/>
        <w:tab w:val="right" w:leader="dot" w:pos="8296"/>
      </w:tabs>
      <w:spacing w:line="360" w:lineRule="auto"/>
      <w:ind w:left="420" w:leftChars="200"/>
    </w:pPr>
  </w:style>
  <w:style w:type="paragraph" w:styleId="16">
    <w:name w:val="Title"/>
    <w:basedOn w:val="1"/>
    <w:next w:val="1"/>
    <w:link w:val="57"/>
    <w:qFormat/>
    <w:uiPriority w:val="10"/>
    <w:pPr>
      <w:jc w:val="left"/>
      <w:outlineLvl w:val="0"/>
    </w:pPr>
    <w:rPr>
      <w:rFonts w:cstheme="majorBidi"/>
      <w:b/>
      <w:bCs/>
      <w:szCs w:val="32"/>
    </w:rPr>
  </w:style>
  <w:style w:type="paragraph" w:styleId="17">
    <w:name w:val="annotation subject"/>
    <w:basedOn w:val="8"/>
    <w:next w:val="8"/>
    <w:link w:val="66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Professional"/>
    <w:basedOn w:val="1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22">
    <w:name w:val="FollowedHyperlink"/>
    <w:basedOn w:val="21"/>
    <w:semiHidden/>
    <w:unhideWhenUsed/>
    <w:qFormat/>
    <w:uiPriority w:val="99"/>
    <w:rPr>
      <w:color w:val="954F72"/>
      <w:u w:val="single"/>
    </w:rPr>
  </w:style>
  <w:style w:type="character" w:styleId="23">
    <w:name w:val="Emphasis"/>
    <w:basedOn w:val="21"/>
    <w:qFormat/>
    <w:uiPriority w:val="20"/>
    <w:rPr>
      <w:i/>
    </w:rPr>
  </w:style>
  <w:style w:type="character" w:styleId="24">
    <w:name w:val="Hyperlink"/>
    <w:basedOn w:val="21"/>
    <w:unhideWhenUsed/>
    <w:qFormat/>
    <w:uiPriority w:val="99"/>
    <w:rPr>
      <w:color w:val="0563C1"/>
      <w:u w:val="single"/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2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Char"/>
    <w:basedOn w:val="21"/>
    <w:link w:val="4"/>
    <w:qFormat/>
    <w:uiPriority w:val="9"/>
    <w:rPr>
      <w:b/>
      <w:bCs/>
      <w:sz w:val="32"/>
      <w:szCs w:val="32"/>
    </w:rPr>
  </w:style>
  <w:style w:type="character" w:customStyle="1" w:styleId="29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31">
    <w:name w:val="批注框文本 Char"/>
    <w:basedOn w:val="21"/>
    <w:link w:val="11"/>
    <w:semiHidden/>
    <w:qFormat/>
    <w:uiPriority w:val="99"/>
    <w:rPr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1F4E7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34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1F4E79"/>
      <w:spacing w:before="100" w:beforeAutospacing="1" w:after="100" w:afterAutospacing="1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3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5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1F4E7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47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1F4E7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48">
    <w:name w:val="xl8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1F4E7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49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1F4E79"/>
      <w:spacing w:before="100" w:beforeAutospacing="1" w:after="100" w:afterAutospacing="1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5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TOC 标题1"/>
    <w:basedOn w:val="2"/>
    <w:next w:val="1"/>
    <w:unhideWhenUsed/>
    <w:qFormat/>
    <w:uiPriority w:val="39"/>
    <w:pPr>
      <w:outlineLvl w:val="9"/>
    </w:pPr>
  </w:style>
  <w:style w:type="paragraph" w:customStyle="1" w:styleId="5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56">
    <w:name w:val="标题 4 Char"/>
    <w:basedOn w:val="21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7">
    <w:name w:val="标题 Char"/>
    <w:basedOn w:val="21"/>
    <w:link w:val="16"/>
    <w:qFormat/>
    <w:uiPriority w:val="10"/>
    <w:rPr>
      <w:rFonts w:asciiTheme="minorHAnsi" w:hAnsiTheme="minorHAnsi" w:eastAsiaTheme="minorEastAsia" w:cstheme="majorBidi"/>
      <w:b/>
      <w:bCs/>
      <w:kern w:val="2"/>
      <w:sz w:val="21"/>
      <w:szCs w:val="32"/>
    </w:rPr>
  </w:style>
  <w:style w:type="character" w:customStyle="1" w:styleId="58">
    <w:name w:val="font21"/>
    <w:basedOn w:val="21"/>
    <w:qFormat/>
    <w:uiPriority w:val="0"/>
    <w:rPr>
      <w:rFonts w:hint="eastAsia" w:ascii="宋体" w:hAnsi="宋体" w:eastAsia="宋体" w:cs="宋体"/>
      <w:b/>
      <w:bCs/>
      <w:color w:val="FFFFFF"/>
      <w:sz w:val="20"/>
      <w:szCs w:val="20"/>
      <w:u w:val="none"/>
    </w:rPr>
  </w:style>
  <w:style w:type="paragraph" w:customStyle="1" w:styleId="5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60">
    <w:name w:val="TOC 标题2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61">
    <w:name w:val="TOC 标题3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6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C8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6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i/>
      <w:iCs/>
      <w:color w:val="000000"/>
      <w:kern w:val="0"/>
      <w:sz w:val="20"/>
      <w:szCs w:val="20"/>
    </w:rPr>
  </w:style>
  <w:style w:type="paragraph" w:customStyle="1" w:styleId="64">
    <w:name w:val="列表段落1"/>
    <w:basedOn w:val="1"/>
    <w:qFormat/>
    <w:uiPriority w:val="34"/>
    <w:pPr>
      <w:ind w:firstLine="420"/>
    </w:pPr>
  </w:style>
  <w:style w:type="character" w:customStyle="1" w:styleId="65">
    <w:name w:val="批注文字 Char"/>
    <w:basedOn w:val="21"/>
    <w:link w:val="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66">
    <w:name w:val="批注主题 Char"/>
    <w:basedOn w:val="65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67">
    <w:name w:val="日期 Char"/>
    <w:basedOn w:val="21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68">
    <w:name w:val="数据报告"/>
    <w:basedOn w:val="20"/>
    <w:qFormat/>
    <w:uiPriority w:val="99"/>
    <w:pPr>
      <w:jc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>
        <w:jc w:val="center"/>
      </w:tblPr>
      <w:trPr>
        <w:jc w:val="center"/>
      </w:trPr>
      <w:tcPr>
        <w:tcBorders>
          <w:tl2br w:val="nil"/>
          <w:tr2bl w:val="nil"/>
        </w:tcBorders>
        <w:shd w:val="clear" w:color="auto" w:fill="0000C8"/>
      </w:tcPr>
    </w:tblStylePr>
    <w:tblStylePr w:type="band1Horz">
      <w:pPr>
        <w:jc w:val="center"/>
      </w:pPr>
      <w:rPr>
        <w:rFonts w:eastAsiaTheme="minorEastAsia"/>
        <w:sz w:val="20"/>
      </w:rPr>
      <w:tblPr>
        <w:jc w:val="center"/>
      </w:tblPr>
      <w:trPr>
        <w:jc w:val="center"/>
      </w:trPr>
      <w:tcPr>
        <w:shd w:val="clear" w:color="auto" w:fill="FFC000"/>
      </w:tcPr>
    </w:tblStylePr>
  </w:style>
  <w:style w:type="table" w:customStyle="1" w:styleId="69">
    <w:name w:val="网格型浅色1"/>
    <w:basedOn w:val="1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文档结构图 Char"/>
    <w:basedOn w:val="21"/>
    <w:link w:val="7"/>
    <w:semiHidden/>
    <w:qFormat/>
    <w:uiPriority w:val="99"/>
    <w:rPr>
      <w:rFonts w:ascii="宋体" w:hAnsiTheme="minorHAnsi" w:eastAsiaTheme="minorEastAsia" w:cstheme="minorBidi"/>
      <w:kern w:val="2"/>
      <w:sz w:val="18"/>
      <w:szCs w:val="18"/>
    </w:rPr>
  </w:style>
  <w:style w:type="paragraph" w:customStyle="1" w:styleId="7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7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7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7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7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9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8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8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8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83">
    <w:name w:val="xl9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8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7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kern w:val="0"/>
      <w:szCs w:val="21"/>
    </w:rPr>
  </w:style>
  <w:style w:type="paragraph" w:customStyle="1" w:styleId="88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90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kern w:val="0"/>
      <w:szCs w:val="21"/>
    </w:rPr>
  </w:style>
  <w:style w:type="paragraph" w:customStyle="1" w:styleId="91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92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9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4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Cs w:val="21"/>
    </w:rPr>
  </w:style>
  <w:style w:type="paragraph" w:customStyle="1" w:styleId="95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96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97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000000"/>
      <w:kern w:val="0"/>
      <w:szCs w:val="21"/>
    </w:rPr>
  </w:style>
  <w:style w:type="paragraph" w:customStyle="1" w:styleId="9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9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000000"/>
      <w:kern w:val="0"/>
      <w:szCs w:val="21"/>
    </w:rPr>
  </w:style>
  <w:style w:type="paragraph" w:customStyle="1" w:styleId="100">
    <w:name w:val="et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01">
    <w:name w:val="et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02">
    <w:name w:val="et4"/>
    <w:basedOn w:val="1"/>
    <w:qFormat/>
    <w:uiPriority w:val="0"/>
    <w:pPr>
      <w:widowControl/>
      <w:shd w:val="clear" w:color="auto" w:fill="DDD9C4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03">
    <w:name w:val="et5"/>
    <w:basedOn w:val="1"/>
    <w:qFormat/>
    <w:uiPriority w:val="0"/>
    <w:pPr>
      <w:widowControl/>
      <w:shd w:val="clear" w:color="auto" w:fill="EEECE1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04">
    <w:name w:val="et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05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10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10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10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7F7EB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color w:val="000000"/>
      <w:kern w:val="0"/>
      <w:szCs w:val="21"/>
    </w:rPr>
  </w:style>
  <w:style w:type="paragraph" w:customStyle="1" w:styleId="10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7F7EB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color w:val="000000"/>
      <w:kern w:val="0"/>
      <w:szCs w:val="21"/>
    </w:rPr>
  </w:style>
  <w:style w:type="paragraph" w:customStyle="1" w:styleId="11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kern w:val="0"/>
      <w:szCs w:val="21"/>
    </w:rPr>
  </w:style>
  <w:style w:type="paragraph" w:customStyle="1" w:styleId="11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1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kern w:val="0"/>
      <w:szCs w:val="21"/>
    </w:rPr>
  </w:style>
  <w:style w:type="paragraph" w:customStyle="1" w:styleId="11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DD9C4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11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DD9C4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15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DD9C4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116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EECE1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11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EECE1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1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EECE1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119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120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21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1859</Words>
  <Characters>10602</Characters>
  <Lines>88</Lines>
  <Paragraphs>24</Paragraphs>
  <TotalTime>56</TotalTime>
  <ScaleCrop>false</ScaleCrop>
  <LinksUpToDate>false</LinksUpToDate>
  <CharactersWithSpaces>12437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2023-08-23T06:13:00Z</dcterms:created>
  <dc:creator>ganzhihui</dc:creator>
  <cp:lastModifiedBy>龘䶛䨻䎱</cp:lastModifiedBy>
  <cp:lastPrinted>2023-10-19T08:28:00Z</cp:lastPrinted>
  <dcterms:modified xsi:type="dcterms:W3CDTF">2023-10-25T07:30:27Z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9A2D733EBE4C0E9ED55EE764CBD00D15_43</vt:lpwstr>
  </property>
</Properties>
</file>