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bCs/>
          <w:sz w:val="36"/>
          <w:szCs w:val="36"/>
        </w:rPr>
        <w:t>随州职业技术学院202</w:t>
      </w:r>
      <w:r>
        <w:rPr>
          <w:rFonts w:ascii="方正小标宋_GBK" w:eastAsia="方正小标宋_GBK"/>
          <w:bCs/>
          <w:sz w:val="36"/>
          <w:szCs w:val="36"/>
        </w:rPr>
        <w:t>2</w:t>
      </w:r>
      <w:r>
        <w:rPr>
          <w:rFonts w:hint="eastAsia" w:ascii="方正小标宋_GBK" w:eastAsia="方正小标宋_GBK"/>
          <w:bCs/>
          <w:sz w:val="36"/>
          <w:szCs w:val="36"/>
        </w:rPr>
        <w:t>年校园专项公开招聘</w:t>
      </w:r>
    </w:p>
    <w:p>
      <w:pPr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教师面试（说课）评价表</w:t>
      </w:r>
    </w:p>
    <w:p>
      <w:pPr>
        <w:ind w:right="960"/>
        <w:rPr>
          <w:sz w:val="24"/>
        </w:rPr>
      </w:pPr>
    </w:p>
    <w:p>
      <w:pPr>
        <w:ind w:right="960" w:firstLine="142" w:firstLineChars="59"/>
        <w:rPr>
          <w:szCs w:val="21"/>
        </w:rPr>
      </w:pPr>
      <w:r>
        <w:rPr>
          <w:rFonts w:hint="eastAsia"/>
          <w:sz w:val="24"/>
        </w:rPr>
        <w:t>考生序号：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                              总分：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 </w:t>
      </w:r>
    </w:p>
    <w:p>
      <w:pPr>
        <w:ind w:right="960" w:firstLine="142" w:firstLineChars="59"/>
        <w:rPr>
          <w:rFonts w:hint="eastAsia"/>
          <w:sz w:val="24"/>
        </w:rPr>
      </w:pPr>
    </w:p>
    <w:tbl>
      <w:tblPr>
        <w:tblStyle w:val="9"/>
        <w:tblW w:w="8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65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指标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评审标准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阐述本次课的能力目标、知识目标、素质目标及与课程目标、专业目标的关系，并结合课程标准，介绍本次课内容的基本要求；目标表述准确，要求具体详实，具有可操作性和可检测性，符合学生认知规律和职业成长规律；重难点突出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二、教学对象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了解学生知识储备、能力现状、素质基础、学习兴趣，准确分析学情，在教学内容和教学方法的选取上体现因材施教。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三、教学内容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剖析教材、参考资料及其它教学资源；说明教学内容选取的针对性和适用性；把握教学内容要点；分析教学重难点及确立依据。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四、教学设计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介绍教学设计的思路；说明选取职业能力训练素材、教学方法、手段及依据，体现“教学做”一体化教学模式。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五、教学过程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阐述师生教学活动的具体安排及依据；重点介绍如何体现和调动学生的学习积极性、如何激发学生动机、如何遵循学生的认知规律、如何注重面向全体学生因材施教、如何培养学生的创新思维和实践能力等，体现教学过程的职业性、实践性、开放性；体现以工作过程（任务）为导向，以能力训练为主线，以学生为主体；专业课以项目或任务为载体组织教学，体现教学过程与生产过程对接；教学整体结构优化，层次分明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六、教学检测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介绍考核内容及标准，且符合职业资格标准及职业岗位（群）任职要求，与课堂教学活动目标一致；介绍检测学生学习效果的方式及依据；分析教学过程中存在的问题，并提出解决问题的思路。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92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七、现场答辩</w:t>
            </w:r>
          </w:p>
        </w:tc>
        <w:tc>
          <w:tcPr>
            <w:tcW w:w="5653" w:type="dxa"/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回答思路敏捷，语言表达流畅，符合观测要点要求，自圆其说的回答，酌情给分。</w:t>
            </w:r>
          </w:p>
        </w:tc>
        <w:tc>
          <w:tcPr>
            <w:tcW w:w="900" w:type="dxa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</w:tbl>
    <w:p/>
    <w:p/>
    <w:p>
      <w:pPr>
        <w:ind w:left="3780" w:firstLine="420"/>
      </w:pPr>
    </w:p>
    <w:p>
      <w:pPr>
        <w:ind w:left="5460" w:firstLine="420"/>
        <w:rPr>
          <w:rFonts w:hint="eastAsia"/>
        </w:rPr>
      </w:pPr>
      <w:r>
        <w:rPr>
          <w:rFonts w:hint="eastAsia"/>
        </w:rPr>
        <w:t>考官签名：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F7E42"/>
    <w:multiLevelType w:val="multilevel"/>
    <w:tmpl w:val="756F7E4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EF"/>
    <w:rsid w:val="00095654"/>
    <w:rsid w:val="000E5B7D"/>
    <w:rsid w:val="00171C5E"/>
    <w:rsid w:val="00184FD4"/>
    <w:rsid w:val="001E1741"/>
    <w:rsid w:val="003547E9"/>
    <w:rsid w:val="004C5FEB"/>
    <w:rsid w:val="005306CE"/>
    <w:rsid w:val="00563A0B"/>
    <w:rsid w:val="005B16D9"/>
    <w:rsid w:val="005B2B09"/>
    <w:rsid w:val="005C0568"/>
    <w:rsid w:val="005D3274"/>
    <w:rsid w:val="00690DFE"/>
    <w:rsid w:val="006A0888"/>
    <w:rsid w:val="006D5704"/>
    <w:rsid w:val="00716BE3"/>
    <w:rsid w:val="00737E97"/>
    <w:rsid w:val="00863789"/>
    <w:rsid w:val="00871350"/>
    <w:rsid w:val="00871374"/>
    <w:rsid w:val="00873D02"/>
    <w:rsid w:val="00881053"/>
    <w:rsid w:val="008D4F6C"/>
    <w:rsid w:val="009F09F8"/>
    <w:rsid w:val="00A045BE"/>
    <w:rsid w:val="00A37BEA"/>
    <w:rsid w:val="00AA65BD"/>
    <w:rsid w:val="00AE57BD"/>
    <w:rsid w:val="00B463E1"/>
    <w:rsid w:val="00B940FD"/>
    <w:rsid w:val="00BF1DAD"/>
    <w:rsid w:val="00CA15CF"/>
    <w:rsid w:val="00CE45B7"/>
    <w:rsid w:val="00D03CEF"/>
    <w:rsid w:val="00E56B8B"/>
    <w:rsid w:val="00EA5F00"/>
    <w:rsid w:val="00F04ED0"/>
    <w:rsid w:val="00F73C11"/>
    <w:rsid w:val="00FE6919"/>
    <w:rsid w:val="0AD57E7D"/>
    <w:rsid w:val="22454D7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200" w:firstLineChars="200"/>
      <w:outlineLvl w:val="0"/>
    </w:pPr>
    <w:rPr>
      <w:rFonts w:eastAsia="仿宋_GB2312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ascii="Arial" w:hAnsi="Arial" w:eastAsia="仿宋_GB2312"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00" w:lineRule="auto"/>
      <w:ind w:firstLine="200" w:firstLineChars="200"/>
      <w:outlineLvl w:val="2"/>
    </w:pPr>
    <w:rPr>
      <w:bCs/>
      <w:sz w:val="28"/>
      <w:szCs w:val="3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字符"/>
    <w:link w:val="7"/>
    <w:uiPriority w:val="0"/>
    <w:rPr>
      <w:kern w:val="2"/>
      <w:sz w:val="18"/>
      <w:szCs w:val="18"/>
    </w:rPr>
  </w:style>
  <w:style w:type="character" w:customStyle="1" w:styleId="12">
    <w:name w:val="页脚 字符"/>
    <w:link w:val="6"/>
    <w:uiPriority w:val="0"/>
    <w:rPr>
      <w:kern w:val="2"/>
      <w:sz w:val="18"/>
      <w:szCs w:val="18"/>
    </w:rPr>
  </w:style>
  <w:style w:type="character" w:customStyle="1" w:styleId="13">
    <w:name w:val="批注框文本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668</Characters>
  <Lines>5</Lines>
  <Paragraphs>1</Paragraphs>
  <ScaleCrop>false</ScaleCrop>
  <LinksUpToDate>false</LinksUpToDate>
  <CharactersWithSpaces>784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2020-06-18T09:27:00Z</dcterms:created>
  <dc:creator>z</dc:creator>
  <cp:lastModifiedBy>事业科</cp:lastModifiedBy>
  <cp:lastPrinted>2021-04-13T08:47:00Z</cp:lastPrinted>
  <dcterms:modified xsi:type="dcterms:W3CDTF">2022-04-21T05:58:29Z</dcterms:modified>
  <dc:title>附件3：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