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9AA99">
      <w:pPr>
        <w:spacing w:before="100" w:beforeLines="0" w:afterLines="0" w:line="230" w:lineRule="auto"/>
        <w:rPr>
          <w:rFonts w:hint="default" w:ascii="黑体" w:hAnsi="黑体" w:eastAsia="黑体" w:cs="黑体"/>
          <w:spacing w:val="-3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>附件</w:t>
      </w:r>
      <w:r>
        <w:rPr>
          <w:rFonts w:hint="default" w:ascii="黑体" w:hAnsi="黑体" w:eastAsia="黑体" w:cs="黑体"/>
          <w:spacing w:val="-3"/>
          <w:sz w:val="32"/>
          <w:szCs w:val="32"/>
        </w:rPr>
        <w:t>1</w:t>
      </w:r>
    </w:p>
    <w:p w14:paraId="56C5D85D">
      <w:pPr>
        <w:spacing w:before="150" w:beforeLines="0" w:afterLines="0" w:line="597" w:lineRule="exact"/>
        <w:ind w:left="5073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12"/>
          <w:position w:val="2"/>
          <w:sz w:val="40"/>
          <w:szCs w:val="40"/>
        </w:rPr>
        <w:t>推进落实工作计划表</w:t>
      </w:r>
    </w:p>
    <w:tbl>
      <w:tblPr>
        <w:tblStyle w:val="3"/>
        <w:tblW w:w="141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2"/>
        <w:gridCol w:w="9967"/>
        <w:gridCol w:w="2634"/>
      </w:tblGrid>
      <w:tr w14:paraId="466172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tblHeader/>
        </w:trPr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7BFD48D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3"/>
                <w:sz w:val="22"/>
                <w:szCs w:val="22"/>
              </w:rPr>
              <w:t>时间</w:t>
            </w:r>
          </w:p>
        </w:tc>
        <w:tc>
          <w:tcPr>
            <w:tcW w:w="99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E3AFA50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10"/>
                <w:sz w:val="22"/>
                <w:szCs w:val="22"/>
              </w:rPr>
              <w:t>工作任务</w:t>
            </w:r>
          </w:p>
        </w:tc>
        <w:tc>
          <w:tcPr>
            <w:tcW w:w="26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D10A4A4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9"/>
                <w:sz w:val="22"/>
                <w:szCs w:val="22"/>
              </w:rPr>
              <w:t>责任单位</w:t>
            </w:r>
          </w:p>
        </w:tc>
      </w:tr>
      <w:tr w14:paraId="65B840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D687190">
            <w:pPr>
              <w:pStyle w:val="5"/>
              <w:keepNext w:val="0"/>
              <w:keepLines w:val="0"/>
              <w:pageBreakBefore w:val="0"/>
              <w:wordWrap/>
              <w:topLinePunct w:val="0"/>
              <w:bidi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-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zh-CN" w:bidi="ar-SA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en-US" w:bidi="ar-SA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zh-CN" w:bidi="ar-SA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en-US" w:bidi="ar-SA"/>
              </w:rPr>
              <w:t>日前</w:t>
            </w:r>
          </w:p>
        </w:tc>
        <w:tc>
          <w:tcPr>
            <w:tcW w:w="99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B9D771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</w:rPr>
              <w:t>各县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</w:rPr>
              <w:t>人社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eastAsia="zh-CN"/>
              </w:rPr>
              <w:t>局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</w:rPr>
              <w:t>制定本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eastAsia="zh-CN"/>
              </w:rPr>
              <w:t>地区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</w:rPr>
              <w:t>“人社惠民政策进万家”活动工作方案、宣讲计划，建立工作机制和工作台账，明确专人负责，活动安排情况提前在门户网站进行公布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</w:rPr>
              <w:t>相关资料报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</w:rPr>
              <w:t>人社局备案，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eastAsia="zh-CN"/>
              </w:rPr>
              <w:t>市局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</w:rPr>
              <w:t>将对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eastAsia="zh-CN"/>
              </w:rPr>
              <w:t>各地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</w:rPr>
              <w:t>进行抽查通报。</w:t>
            </w:r>
          </w:p>
        </w:tc>
        <w:tc>
          <w:tcPr>
            <w:tcW w:w="26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FD64C8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-3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0"/>
                <w:szCs w:val="20"/>
              </w:rPr>
              <w:t>各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0"/>
                <w:szCs w:val="20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0"/>
                <w:szCs w:val="20"/>
              </w:rPr>
              <w:t>人社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0"/>
                <w:szCs w:val="20"/>
                <w:lang w:eastAsia="zh-CN"/>
              </w:rPr>
              <w:t>局</w:t>
            </w:r>
          </w:p>
        </w:tc>
      </w:tr>
      <w:tr w14:paraId="1DDBA0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87E9805">
            <w:pPr>
              <w:pStyle w:val="5"/>
              <w:keepNext w:val="0"/>
              <w:keepLines w:val="0"/>
              <w:pageBreakBefore w:val="0"/>
              <w:wordWrap/>
              <w:topLinePunct w:val="0"/>
              <w:bidi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zh-CN" w:bidi="ar-SA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en-US" w:bidi="ar-SA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zh-CN" w:bidi="ar-SA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en-US" w:bidi="ar-SA"/>
              </w:rPr>
              <w:t>日前</w:t>
            </w:r>
          </w:p>
        </w:tc>
        <w:tc>
          <w:tcPr>
            <w:tcW w:w="99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0B0EFD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</w:rPr>
              <w:t>收集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eastAsia="zh-CN"/>
              </w:rPr>
              <w:t>县市区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</w:rPr>
              <w:t>人社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eastAsia="zh-CN"/>
              </w:rPr>
              <w:t>局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</w:rPr>
              <w:t>工作方案、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eastAsia="zh-CN"/>
              </w:rPr>
              <w:t>局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</w:rPr>
              <w:t>宣讲活动计划，对全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</w:rPr>
              <w:t>活动安排情况在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eastAsia="zh-CN"/>
              </w:rPr>
              <w:t>局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</w:rPr>
              <w:t>门户网站公布。</w:t>
            </w:r>
          </w:p>
        </w:tc>
        <w:tc>
          <w:tcPr>
            <w:tcW w:w="26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B72F860">
            <w:pPr>
              <w:pStyle w:val="5"/>
              <w:keepNext w:val="0"/>
              <w:keepLines w:val="0"/>
              <w:pageBreakBefore w:val="0"/>
              <w:wordWrap/>
              <w:topLinePunct w:val="0"/>
              <w:bidi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en-US" w:bidi="ar-SA"/>
              </w:rPr>
              <w:t>法规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zh-CN" w:bidi="ar-SA"/>
              </w:rPr>
              <w:t>科</w:t>
            </w:r>
          </w:p>
        </w:tc>
      </w:tr>
      <w:tr w14:paraId="1947E7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651261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en-US" w:bidi="ar-SA"/>
              </w:rPr>
              <w:t>3—12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en-US" w:bidi="ar-SA"/>
              </w:rPr>
              <w:t>月</w:t>
            </w:r>
          </w:p>
        </w:tc>
        <w:tc>
          <w:tcPr>
            <w:tcW w:w="99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940A07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 w:cstheme="minorEastAsia"/>
                <w:spacing w:val="6"/>
                <w:sz w:val="20"/>
                <w:szCs w:val="20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</w:rPr>
              <w:t>各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</w:rPr>
              <w:t>人社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eastAsia="zh-CN"/>
              </w:rPr>
              <w:t>局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</w:rPr>
              <w:t>灵活运用微动漫、微视频、政策问答等多种形式进行政策宣传，广泛开展“五进五促”政策宣讲活动。</w:t>
            </w:r>
          </w:p>
          <w:p w14:paraId="0563FCA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 w:cstheme="minorEastAsia"/>
                <w:spacing w:val="6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</w:rPr>
              <w:t>各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</w:rPr>
              <w:t>人社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eastAsia="zh-CN"/>
              </w:rPr>
              <w:t>局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</w:rPr>
              <w:t>组织人社政策法规日常学习教育，增强系统干部政治素养、业务能力和服务本领，积极引导企事业单位、人力资源服务机构和社会公众等学习人社政策，营造良好学习氛围。</w:t>
            </w:r>
          </w:p>
          <w:p w14:paraId="3B4B056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 w:cstheme="minorEastAsia"/>
                <w:spacing w:val="6"/>
                <w:sz w:val="20"/>
                <w:szCs w:val="20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</w:rPr>
              <w:t>各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</w:rPr>
              <w:t>人社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eastAsia="zh-CN"/>
              </w:rPr>
              <w:t>局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</w:rPr>
              <w:t>可依托部在线练兵平台、省厅推出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</w:rPr>
              <w:t>人社政策法规在线学习小程序等，通过组织形式多样的技能比武或人社法治知识竞赛活动等方式，加强人社干部职工政策法规学习培训，培树更多“人社知识通”“政策宣讲员”。</w:t>
            </w:r>
          </w:p>
          <w:p w14:paraId="225363F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 w:cstheme="minorEastAsia"/>
                <w:spacing w:val="6"/>
                <w:sz w:val="20"/>
                <w:szCs w:val="20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</w:rPr>
              <w:t>各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</w:rPr>
              <w:t>人社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eastAsia="zh-CN"/>
              </w:rPr>
              <w:t>局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</w:rPr>
              <w:t>以微动漫微电影微视频等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eastAsia="zh-CN"/>
              </w:rPr>
              <w:t>多种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</w:rPr>
              <w:t>形式积极开展人社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eastAsia="zh-CN"/>
              </w:rPr>
              <w:t>普法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</w:rPr>
              <w:t>宣传，引导鼓励全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</w:rPr>
              <w:t>创新宣传方式方法。</w:t>
            </w:r>
          </w:p>
        </w:tc>
        <w:tc>
          <w:tcPr>
            <w:tcW w:w="26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F17BC4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en-US" w:bidi="ar-SA"/>
              </w:rPr>
              <w:t>各地人社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zh-CN" w:bidi="ar-SA"/>
              </w:rPr>
              <w:t>局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en-US" w:bidi="ar-SA"/>
              </w:rPr>
              <w:t>、</w:t>
            </w:r>
          </w:p>
          <w:p w14:paraId="5D97A1C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en-US" w:bidi="ar-SA"/>
              </w:rPr>
              <w:t>办公室、法规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zh-CN" w:bidi="ar-SA"/>
              </w:rPr>
              <w:t>科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en-US" w:bidi="ar-SA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zh-CN" w:bidi="ar-SA"/>
              </w:rPr>
              <w:t>政务服务科、局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en-US" w:bidi="ar-SA"/>
              </w:rPr>
              <w:t>宣讲活动牵头单位等相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zh-CN" w:bidi="ar-SA"/>
              </w:rPr>
              <w:t>科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en-US" w:bidi="ar-SA"/>
              </w:rPr>
              <w:t>室（单位）</w:t>
            </w:r>
          </w:p>
        </w:tc>
      </w:tr>
      <w:tr w14:paraId="7F6EB8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69671B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-3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 w:cstheme="minorEastAsia"/>
                <w:spacing w:val="-3"/>
                <w:sz w:val="20"/>
                <w:szCs w:val="20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0"/>
                <w:szCs w:val="20"/>
              </w:rPr>
              <w:t>日前</w:t>
            </w:r>
          </w:p>
        </w:tc>
        <w:tc>
          <w:tcPr>
            <w:tcW w:w="99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41BCF0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 w:cstheme="minorEastAsia"/>
                <w:spacing w:val="6"/>
                <w:sz w:val="20"/>
                <w:szCs w:val="20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</w:rPr>
              <w:t>鼓励各地规范建设人社政策法规文件库，及时对已失效、废止或修改的文件做好清理和更新，实现现行有效的人社政策法规线上发布“应上尽上”。</w:t>
            </w:r>
          </w:p>
          <w:p w14:paraId="40CB915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 w:cstheme="minorEastAsia"/>
                <w:spacing w:val="6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</w:rPr>
              <w:t>在门户网站、微信公众号开设宣传栏目，及时做好新出台法规政策的集中公开发布，综合运用“</w:t>
            </w:r>
            <w:r>
              <w:rPr>
                <w:rFonts w:hint="default" w:asciiTheme="minorEastAsia" w:hAnsiTheme="minorEastAsia" w:eastAsiaTheme="minorEastAsia" w:cstheme="minorEastAsia"/>
                <w:spacing w:val="6"/>
                <w:sz w:val="20"/>
                <w:szCs w:val="20"/>
              </w:rPr>
              <w:t>1+2+X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</w:rPr>
              <w:t>”等多种形式，持续做好新出台人社政策法规的解读。</w:t>
            </w:r>
          </w:p>
          <w:p w14:paraId="4641F76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 w:cstheme="minorEastAsia"/>
                <w:spacing w:val="6"/>
                <w:sz w:val="20"/>
                <w:szCs w:val="20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</w:rPr>
              <w:t>以与人民群众切身利益密切相关的政策调整为重点，吸收总结新一轮“放管服”改革“减证便民”成果，编印发布新版“人社惠民政策进万家”宣传手册（含电子版、活页等宣传资料）。</w:t>
            </w:r>
          </w:p>
          <w:p w14:paraId="199C379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 w:cstheme="minorEastAsia"/>
                <w:spacing w:val="6"/>
                <w:sz w:val="20"/>
                <w:szCs w:val="20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</w:rPr>
              <w:t>法规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eastAsia="zh-CN"/>
              </w:rPr>
              <w:t>科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</w:rPr>
              <w:t>检查各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</w:rPr>
              <w:t>人社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eastAsia="zh-CN"/>
              </w:rPr>
              <w:t>局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eastAsia="zh-CN"/>
              </w:rPr>
              <w:t>局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</w:rPr>
              <w:t>宣讲活动责任单位的宣讲活动安排在门户网站公布、落实情况；各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</w:rPr>
              <w:t>人社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eastAsia="zh-CN"/>
              </w:rPr>
              <w:t>局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eastAsia="zh-CN"/>
              </w:rPr>
              <w:t>局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</w:rPr>
              <w:t>宣讲活动牵头单位及时总结梳理上半年活动开展情况，按要求报送活动进展情况及统计表，适时进行全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</w:rPr>
              <w:t>通报。</w:t>
            </w:r>
          </w:p>
        </w:tc>
        <w:tc>
          <w:tcPr>
            <w:tcW w:w="26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D1CDD8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-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0"/>
                <w:szCs w:val="20"/>
              </w:rPr>
              <w:t>各地人社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0"/>
                <w:szCs w:val="20"/>
                <w:lang w:eastAsia="zh-CN"/>
              </w:rPr>
              <w:t>局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0"/>
                <w:szCs w:val="20"/>
              </w:rPr>
              <w:t>、</w:t>
            </w:r>
          </w:p>
          <w:p w14:paraId="3FB2458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-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0"/>
                <w:szCs w:val="20"/>
              </w:rPr>
              <w:t>办公室、法规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0"/>
                <w:szCs w:val="20"/>
                <w:lang w:eastAsia="zh-CN"/>
              </w:rPr>
              <w:t>科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0"/>
                <w:szCs w:val="20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0"/>
                <w:szCs w:val="20"/>
                <w:lang w:eastAsia="zh-CN"/>
              </w:rPr>
              <w:t>政务服务科、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0"/>
                <w:szCs w:val="20"/>
              </w:rPr>
              <w:t>信息中心、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0"/>
                <w:szCs w:val="20"/>
                <w:lang w:eastAsia="zh-CN"/>
              </w:rPr>
              <w:t>局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0"/>
                <w:szCs w:val="20"/>
              </w:rPr>
              <w:t>宣讲活动牵头单位等相关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0"/>
                <w:szCs w:val="20"/>
                <w:lang w:eastAsia="zh-CN"/>
              </w:rPr>
              <w:t>科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0"/>
                <w:szCs w:val="20"/>
              </w:rPr>
              <w:t>室（单位）</w:t>
            </w:r>
          </w:p>
        </w:tc>
      </w:tr>
      <w:tr w14:paraId="05C9C5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D802D4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-3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 w:cstheme="minorEastAsia"/>
                <w:spacing w:val="-3"/>
                <w:sz w:val="20"/>
                <w:szCs w:val="20"/>
              </w:rPr>
              <w:t>7—11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0"/>
                <w:szCs w:val="20"/>
              </w:rPr>
              <w:t>月</w:t>
            </w:r>
          </w:p>
        </w:tc>
        <w:tc>
          <w:tcPr>
            <w:tcW w:w="99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AC630F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 w:cstheme="minorEastAsia"/>
                <w:spacing w:val="6"/>
                <w:sz w:val="20"/>
                <w:szCs w:val="20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</w:rPr>
              <w:t>以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eastAsia="zh-CN"/>
              </w:rPr>
              <w:t>市局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</w:rPr>
              <w:t>督办调研、“四不两直”基层调研等为契机，对各地活动落实情况进行检查。</w:t>
            </w:r>
          </w:p>
          <w:p w14:paraId="7DA1861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 w:cstheme="minorEastAsia"/>
                <w:spacing w:val="6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</w:rPr>
              <w:t>结合工作实际，开展活动经验交流。</w:t>
            </w:r>
          </w:p>
        </w:tc>
        <w:tc>
          <w:tcPr>
            <w:tcW w:w="26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726EAF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-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0"/>
                <w:szCs w:val="20"/>
              </w:rPr>
              <w:t>各地人社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0"/>
                <w:szCs w:val="20"/>
                <w:lang w:eastAsia="zh-CN"/>
              </w:rPr>
              <w:t>局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0"/>
                <w:szCs w:val="20"/>
              </w:rPr>
              <w:t>、法规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0"/>
                <w:szCs w:val="20"/>
                <w:lang w:eastAsia="zh-CN"/>
              </w:rPr>
              <w:t>科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0"/>
                <w:szCs w:val="20"/>
              </w:rPr>
              <w:t>等相关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0"/>
                <w:szCs w:val="20"/>
                <w:lang w:eastAsia="zh-CN"/>
              </w:rPr>
              <w:t>科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0"/>
                <w:szCs w:val="20"/>
              </w:rPr>
              <w:t>室（单位）</w:t>
            </w:r>
          </w:p>
        </w:tc>
      </w:tr>
      <w:tr w14:paraId="220AC6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303815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-3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 w:cstheme="minorEastAsia"/>
                <w:spacing w:val="-3"/>
                <w:sz w:val="20"/>
                <w:szCs w:val="20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0"/>
                <w:szCs w:val="20"/>
              </w:rPr>
              <w:t>日前</w:t>
            </w:r>
          </w:p>
        </w:tc>
        <w:tc>
          <w:tcPr>
            <w:tcW w:w="99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87B8F97">
            <w:pPr>
              <w:pStyle w:val="5"/>
              <w:keepNext w:val="0"/>
              <w:keepLines w:val="0"/>
              <w:pageBreakBefore w:val="0"/>
              <w:wordWrap/>
              <w:topLinePunct w:val="0"/>
              <w:bidi w:val="0"/>
              <w:spacing w:beforeLines="0" w:afterLines="0" w:line="280" w:lineRule="exact"/>
              <w:ind w:left="0" w:right="0" w:firstLine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6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spacing w:val="6"/>
                <w:sz w:val="20"/>
                <w:szCs w:val="20"/>
                <w:lang w:val="en-US" w:eastAsia="en-US" w:bidi="ar-SA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6"/>
                <w:sz w:val="20"/>
                <w:szCs w:val="20"/>
                <w:lang w:val="en-US" w:eastAsia="zh-CN" w:bidi="ar-SA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6"/>
                <w:sz w:val="20"/>
                <w:szCs w:val="20"/>
                <w:lang w:val="en-US" w:eastAsia="en-US" w:bidi="ar-SA"/>
              </w:rPr>
              <w:t>不定期抽查各地门户网站和微信公众号的政策公开、政策解读及政策宣传等情况。</w:t>
            </w:r>
          </w:p>
          <w:p w14:paraId="056422B5">
            <w:pPr>
              <w:pStyle w:val="5"/>
              <w:keepNext w:val="0"/>
              <w:keepLines w:val="0"/>
              <w:pageBreakBefore w:val="0"/>
              <w:wordWrap/>
              <w:topLinePunct w:val="0"/>
              <w:bidi w:val="0"/>
              <w:spacing w:beforeLines="0" w:afterLines="0" w:line="280" w:lineRule="exact"/>
              <w:ind w:left="0" w:right="0" w:firstLine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6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spacing w:val="6"/>
                <w:sz w:val="20"/>
                <w:szCs w:val="20"/>
                <w:lang w:val="en-US" w:eastAsia="en-US" w:bidi="ar-SA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6"/>
                <w:sz w:val="20"/>
                <w:szCs w:val="20"/>
                <w:lang w:val="en-US" w:eastAsia="zh-CN" w:bidi="ar-SA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6"/>
                <w:sz w:val="20"/>
                <w:szCs w:val="20"/>
                <w:lang w:val="en-US" w:eastAsia="en-US" w:bidi="ar-SA"/>
              </w:rPr>
              <w:t>结合全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6"/>
                <w:sz w:val="20"/>
                <w:szCs w:val="20"/>
                <w:lang w:val="en-US" w:eastAsia="zh-CN" w:bidi="ar-SA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6"/>
                <w:sz w:val="20"/>
                <w:szCs w:val="20"/>
                <w:lang w:val="en-US" w:eastAsia="en-US" w:bidi="ar-SA"/>
              </w:rPr>
              <w:t>人社系统行风建设相关活动及调研工作安排等，对各地开展活动情况适时检查。</w:t>
            </w:r>
          </w:p>
        </w:tc>
        <w:tc>
          <w:tcPr>
            <w:tcW w:w="26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D04ED6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-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0"/>
                <w:szCs w:val="20"/>
              </w:rPr>
              <w:t>各地人社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0"/>
                <w:szCs w:val="20"/>
                <w:lang w:eastAsia="zh-CN"/>
              </w:rPr>
              <w:t>局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0"/>
                <w:szCs w:val="20"/>
              </w:rPr>
              <w:t>、办公室、法规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0"/>
                <w:szCs w:val="20"/>
                <w:lang w:eastAsia="zh-CN"/>
              </w:rPr>
              <w:t>科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0"/>
                <w:szCs w:val="20"/>
              </w:rPr>
              <w:t>等相关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0"/>
                <w:szCs w:val="20"/>
                <w:lang w:eastAsia="zh-CN"/>
              </w:rPr>
              <w:t>科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0"/>
                <w:szCs w:val="20"/>
              </w:rPr>
              <w:t>室（单位）</w:t>
            </w:r>
          </w:p>
        </w:tc>
      </w:tr>
      <w:tr w14:paraId="57D25C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BF200A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-3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 w:cstheme="minorEastAsia"/>
                <w:spacing w:val="-3"/>
                <w:sz w:val="20"/>
                <w:szCs w:val="20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0"/>
                <w:szCs w:val="20"/>
              </w:rPr>
              <w:t>日前</w:t>
            </w:r>
          </w:p>
        </w:tc>
        <w:tc>
          <w:tcPr>
            <w:tcW w:w="99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524F417">
            <w:pPr>
              <w:pStyle w:val="5"/>
              <w:keepNext w:val="0"/>
              <w:keepLines w:val="0"/>
              <w:pageBreakBefore w:val="0"/>
              <w:wordWrap/>
              <w:topLinePunct w:val="0"/>
              <w:bidi w:val="0"/>
              <w:spacing w:beforeLines="0" w:afterLines="0" w:line="280" w:lineRule="exact"/>
              <w:ind w:left="0" w:right="0" w:firstLine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6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6"/>
                <w:sz w:val="20"/>
                <w:szCs w:val="20"/>
                <w:lang w:val="en-US" w:eastAsia="en-US" w:bidi="ar-SA"/>
              </w:rPr>
              <w:t>检查各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6"/>
                <w:sz w:val="20"/>
                <w:szCs w:val="20"/>
                <w:lang w:val="en-US" w:eastAsia="zh-CN" w:bidi="ar-SA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6"/>
                <w:sz w:val="20"/>
                <w:szCs w:val="20"/>
                <w:lang w:val="en-US" w:eastAsia="en-US" w:bidi="ar-SA"/>
              </w:rPr>
              <w:t>“政策宣讲五进”活动完成情况，完成率应为</w:t>
            </w:r>
            <w:r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spacing w:val="6"/>
                <w:sz w:val="20"/>
                <w:szCs w:val="20"/>
                <w:lang w:val="en-US" w:eastAsia="en-US" w:bidi="ar-SA"/>
              </w:rPr>
              <w:t>100%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6"/>
                <w:sz w:val="20"/>
                <w:szCs w:val="20"/>
                <w:lang w:val="en-US" w:eastAsia="en-US" w:bidi="ar-SA"/>
              </w:rPr>
              <w:t>。</w:t>
            </w:r>
          </w:p>
        </w:tc>
        <w:tc>
          <w:tcPr>
            <w:tcW w:w="26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008BBE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-3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0"/>
                <w:szCs w:val="20"/>
              </w:rPr>
              <w:t>法规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0"/>
                <w:szCs w:val="20"/>
                <w:lang w:eastAsia="zh-CN"/>
              </w:rPr>
              <w:t>科</w:t>
            </w:r>
          </w:p>
        </w:tc>
      </w:tr>
      <w:tr w14:paraId="39F69B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C681FFE">
            <w:pPr>
              <w:pStyle w:val="5"/>
              <w:keepNext w:val="0"/>
              <w:keepLines w:val="0"/>
              <w:pageBreakBefore w:val="0"/>
              <w:wordWrap/>
              <w:topLinePunct w:val="0"/>
              <w:bidi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en-US" w:bidi="ar-SA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en-US" w:bidi="ar-SA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zh-CN" w:bidi="ar-SA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en-US" w:bidi="ar-SA"/>
              </w:rPr>
              <w:t>日前</w:t>
            </w:r>
          </w:p>
        </w:tc>
        <w:tc>
          <w:tcPr>
            <w:tcW w:w="99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09F1D8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val="en-US" w:eastAsia="en-US"/>
              </w:rPr>
              <w:t>督导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val="en-US" w:eastAsia="zh-CN"/>
              </w:rPr>
              <w:t>县（市、区）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val="en-US" w:eastAsia="en-US"/>
              </w:rPr>
              <w:t>开展“惠民政策进万家”宣讲活动，实现乡镇全覆盖。</w:t>
            </w:r>
          </w:p>
          <w:p w14:paraId="37C2D0A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val="en-US" w:eastAsia="zh-CN"/>
              </w:rPr>
              <w:t>2.市局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val="en-US" w:eastAsia="en-US"/>
              </w:rPr>
              <w:t>随机抽查部分县（市、区）开展“惠民政策进万家”宣讲活动的实施情况。</w:t>
            </w:r>
          </w:p>
        </w:tc>
        <w:tc>
          <w:tcPr>
            <w:tcW w:w="26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93BFCD7">
            <w:pPr>
              <w:pStyle w:val="5"/>
              <w:keepNext w:val="0"/>
              <w:keepLines w:val="0"/>
              <w:pageBreakBefore w:val="0"/>
              <w:wordWrap/>
              <w:topLinePunct w:val="0"/>
              <w:bidi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zh-CN" w:bidi="ar-SA"/>
              </w:rPr>
              <w:t>法规科</w:t>
            </w:r>
          </w:p>
        </w:tc>
      </w:tr>
      <w:tr w14:paraId="241569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424A94E">
            <w:pPr>
              <w:pStyle w:val="5"/>
              <w:keepNext w:val="0"/>
              <w:keepLines w:val="0"/>
              <w:pageBreakBefore w:val="0"/>
              <w:wordWrap/>
              <w:topLinePunct w:val="0"/>
              <w:bidi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en-US" w:bidi="ar-SA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en-US" w:bidi="ar-SA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zh-CN" w:bidi="ar-SA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en-US" w:bidi="ar-SA"/>
              </w:rPr>
              <w:t>日前</w:t>
            </w:r>
          </w:p>
        </w:tc>
        <w:tc>
          <w:tcPr>
            <w:tcW w:w="99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6C9BA3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val="en-US" w:eastAsia="en-US"/>
              </w:rPr>
              <w:t>各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val="en-US"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val="en-US" w:eastAsia="en-US"/>
              </w:rPr>
              <w:t>人社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val="en-US" w:eastAsia="zh-CN"/>
              </w:rPr>
              <w:t>局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val="en-US" w:eastAsia="en-U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val="en-US" w:eastAsia="zh-CN"/>
              </w:rPr>
              <w:t>局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val="en-US" w:eastAsia="en-US"/>
              </w:rPr>
              <w:t>宣讲活动牵头单位对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val="en-US" w:eastAsia="zh-CN"/>
              </w:rPr>
              <w:t>2025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val="en-US" w:eastAsia="en-US"/>
              </w:rPr>
              <w:t>年“人社惠民政策进万家”活动进行全面总结，按要求报送总结报告、统计表和活动中制作的图文（表）、动漫、微视频等各类宣传资料。</w:t>
            </w:r>
          </w:p>
        </w:tc>
        <w:tc>
          <w:tcPr>
            <w:tcW w:w="26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D01463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en-US" w:bidi="ar-SA"/>
              </w:rPr>
              <w:t>各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zh-CN" w:bidi="ar-SA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en-US" w:bidi="ar-SA"/>
              </w:rPr>
              <w:t>人社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zh-CN" w:bidi="ar-SA"/>
              </w:rPr>
              <w:t>局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en-US" w:bidi="ar-SA"/>
              </w:rPr>
              <w:t>、</w:t>
            </w:r>
          </w:p>
          <w:p w14:paraId="78A0F69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zh-CN" w:bidi="ar-SA"/>
              </w:rPr>
              <w:t>局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en-US" w:bidi="ar-SA"/>
              </w:rPr>
              <w:t>宣讲活动牵头单位</w:t>
            </w:r>
          </w:p>
        </w:tc>
      </w:tr>
      <w:tr w14:paraId="29945C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DE73DAB">
            <w:pPr>
              <w:pStyle w:val="5"/>
              <w:keepNext w:val="0"/>
              <w:keepLines w:val="0"/>
              <w:pageBreakBefore w:val="0"/>
              <w:wordWrap/>
              <w:topLinePunct w:val="0"/>
              <w:bidi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en-US" w:bidi="ar-SA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en-US" w:bidi="ar-SA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zh-CN" w:bidi="ar-SA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en-US" w:bidi="ar-SA"/>
              </w:rPr>
              <w:t>日前</w:t>
            </w:r>
          </w:p>
        </w:tc>
        <w:tc>
          <w:tcPr>
            <w:tcW w:w="99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3BCA77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val="en-US" w:eastAsia="en-US"/>
              </w:rPr>
              <w:t>收集、梳理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val="en-US" w:eastAsia="zh-CN"/>
              </w:rPr>
              <w:t>各地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val="en-US" w:eastAsia="en-US"/>
              </w:rPr>
              <w:t>人社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val="en-US" w:eastAsia="zh-CN"/>
              </w:rPr>
              <w:t>局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val="en-US" w:eastAsia="en-U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val="en-US" w:eastAsia="zh-CN"/>
              </w:rPr>
              <w:t>局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val="en-US" w:eastAsia="en-US"/>
              </w:rPr>
              <w:t>宣讲活动牵头单位报送的相关资料、总结报告及统计表，结合年底全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val="en-US" w:eastAsia="zh-CN"/>
              </w:rPr>
              <w:t>市人社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val="en-US" w:eastAsia="en-US"/>
              </w:rPr>
              <w:t>系统年底调研工作安排对各地政策宣传和落实情况进行检查，并适时全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val="en-US"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val="en-US" w:eastAsia="en-US"/>
              </w:rPr>
              <w:t>通报。</w:t>
            </w:r>
          </w:p>
        </w:tc>
        <w:tc>
          <w:tcPr>
            <w:tcW w:w="26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DF6018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en-US" w:bidi="ar-SA"/>
              </w:rPr>
              <w:t>法规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zh-CN" w:bidi="ar-SA"/>
              </w:rPr>
              <w:t>科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en-US" w:bidi="ar-SA"/>
              </w:rPr>
              <w:t>、办公室</w:t>
            </w:r>
          </w:p>
        </w:tc>
      </w:tr>
      <w:tr w14:paraId="52373F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</w:trPr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85E638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en-US" w:bidi="ar-SA"/>
              </w:rPr>
              <w:t>贯穿活动</w:t>
            </w:r>
          </w:p>
          <w:p w14:paraId="411C669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en-US" w:bidi="ar-SA"/>
              </w:rPr>
              <w:t>全过程</w:t>
            </w:r>
          </w:p>
        </w:tc>
        <w:tc>
          <w:tcPr>
            <w:tcW w:w="99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3AB1A7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val="en-US" w:eastAsia="en-US"/>
              </w:rPr>
            </w:pPr>
            <w:r>
              <w:rPr>
                <w:rFonts w:hint="default" w:asciiTheme="minorEastAsia" w:hAnsiTheme="minorEastAsia" w:eastAsiaTheme="minorEastAsia" w:cstheme="minorEastAsia"/>
                <w:spacing w:val="6"/>
                <w:sz w:val="20"/>
                <w:szCs w:val="20"/>
                <w:lang w:val="en-US" w:eastAsia="en-US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val="en-US" w:eastAsia="en-US"/>
              </w:rPr>
              <w:t>各级服务大厅和服务窗口张贴政策宣传海报，播放政策宣传视频，发放宣传手册，窗口工作人员掌握新出台政策，做好政策宣传解读和经办落实。</w:t>
            </w:r>
          </w:p>
          <w:p w14:paraId="69D4E7E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val="en-US" w:eastAsia="en-US"/>
              </w:rPr>
            </w:pPr>
            <w:r>
              <w:rPr>
                <w:rFonts w:hint="default" w:asciiTheme="minorEastAsia" w:hAnsiTheme="minorEastAsia" w:eastAsiaTheme="minorEastAsia" w:cstheme="minorEastAsia"/>
                <w:spacing w:val="6"/>
                <w:sz w:val="20"/>
                <w:szCs w:val="20"/>
                <w:lang w:val="en-US" w:eastAsia="en-US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val="en-US" w:eastAsia="en-US"/>
              </w:rPr>
              <w:t>及时报送各类工作动态、宣讲活动、经验做法等信息。</w:t>
            </w:r>
          </w:p>
          <w:p w14:paraId="1A5B788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val="en-US" w:eastAsia="en-US"/>
              </w:rPr>
            </w:pPr>
            <w:r>
              <w:rPr>
                <w:rFonts w:hint="default" w:asciiTheme="minorEastAsia" w:hAnsiTheme="minorEastAsia" w:eastAsiaTheme="minorEastAsia" w:cstheme="minorEastAsia"/>
                <w:spacing w:val="6"/>
                <w:sz w:val="20"/>
                <w:szCs w:val="20"/>
                <w:lang w:val="en-US" w:eastAsia="en-US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val="en-US" w:eastAsia="en-US"/>
              </w:rPr>
              <w:t>充分利用门户网站、报纸、电视、微信公众号等媒体进行宣传报道，广泛接受社会各界监督。</w:t>
            </w:r>
          </w:p>
          <w:p w14:paraId="62CEBD1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val="en-US" w:eastAsia="en-US"/>
              </w:rPr>
            </w:pPr>
            <w:r>
              <w:rPr>
                <w:rFonts w:hint="default" w:asciiTheme="minorEastAsia" w:hAnsiTheme="minorEastAsia" w:eastAsiaTheme="minorEastAsia" w:cstheme="minorEastAsia"/>
                <w:spacing w:val="6"/>
                <w:sz w:val="20"/>
                <w:szCs w:val="20"/>
                <w:lang w:val="en-US" w:eastAsia="en-US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  <w:lang w:val="en-US" w:eastAsia="en-US"/>
              </w:rPr>
              <w:t>创新宣传工作方式方法，多采用易传播的微镜头、短视频、微漫画，多运用启迪心智的金句、直抵人心的暖语、群众喜闻乐见的方式，把人社政策讲得有温度、有深度、有质感。</w:t>
            </w:r>
          </w:p>
        </w:tc>
        <w:tc>
          <w:tcPr>
            <w:tcW w:w="26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8152D75">
            <w:pPr>
              <w:pStyle w:val="5"/>
              <w:keepNext w:val="0"/>
              <w:keepLines w:val="0"/>
              <w:pageBreakBefore w:val="0"/>
              <w:wordWrap/>
              <w:topLinePunct w:val="0"/>
              <w:bidi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en-US" w:bidi="ar-SA"/>
              </w:rPr>
              <w:t>各地人社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zh-CN" w:bidi="ar-SA"/>
              </w:rPr>
              <w:t>局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en-US" w:bidi="ar-SA"/>
              </w:rPr>
              <w:t>、</w:t>
            </w:r>
          </w:p>
          <w:p w14:paraId="08750270">
            <w:pPr>
              <w:pStyle w:val="5"/>
              <w:keepNext w:val="0"/>
              <w:keepLines w:val="0"/>
              <w:pageBreakBefore w:val="0"/>
              <w:wordWrap/>
              <w:topLinePunct w:val="0"/>
              <w:bidi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zh-CN" w:bidi="ar-SA"/>
              </w:rPr>
              <w:t>局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en-US" w:bidi="ar-SA"/>
              </w:rPr>
              <w:t>相关责任单位、</w:t>
            </w:r>
          </w:p>
          <w:p w14:paraId="1ED299BB">
            <w:pPr>
              <w:pStyle w:val="5"/>
              <w:keepNext w:val="0"/>
              <w:keepLines w:val="0"/>
              <w:pageBreakBefore w:val="0"/>
              <w:wordWrap/>
              <w:topLinePunct w:val="0"/>
              <w:bidi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en-US" w:bidi="ar-SA"/>
              </w:rPr>
              <w:t>法规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zh-CN" w:bidi="ar-SA"/>
              </w:rPr>
              <w:t>科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en-US" w:bidi="ar-SA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zh-CN" w:bidi="ar-SA"/>
              </w:rPr>
              <w:t>政务服务科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en-US" w:bidi="ar-SA"/>
              </w:rPr>
              <w:t>等相关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zh-CN" w:bidi="ar-SA"/>
              </w:rPr>
              <w:t>科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en-US" w:bidi="ar-SA"/>
              </w:rPr>
              <w:t>室（单位）</w:t>
            </w:r>
          </w:p>
        </w:tc>
      </w:tr>
    </w:tbl>
    <w:p w14:paraId="7C03BD53">
      <w:pPr>
        <w:keepNext w:val="0"/>
        <w:keepLines w:val="0"/>
        <w:pageBreakBefore w:val="0"/>
        <w:wordWrap/>
        <w:topLinePunct w:val="0"/>
        <w:bidi w:val="0"/>
        <w:spacing w:line="280" w:lineRule="exact"/>
        <w:ind w:left="0" w:right="0" w:firstLine="0"/>
        <w:jc w:val="both"/>
        <w:textAlignment w:val="baseline"/>
        <w:rPr>
          <w:rFonts w:hint="eastAsia" w:ascii="黑体" w:hAnsi="黑体" w:eastAsia="黑体" w:cs="黑体"/>
          <w:spacing w:val="-3"/>
          <w:sz w:val="32"/>
          <w:szCs w:val="32"/>
        </w:rPr>
        <w:sectPr>
          <w:footerReference r:id="rId4" w:type="default"/>
          <w:pgSz w:w="16838" w:h="11906"/>
          <w:pgMar w:top="1871" w:right="1587" w:bottom="1701" w:left="1587" w:header="0" w:footer="1219" w:gutter="0"/>
          <w:lnNumType w:countBy="0" w:distance="360"/>
          <w:pgNumType w:fmt="decimal"/>
          <w:cols w:space="720" w:num="1"/>
        </w:sectPr>
      </w:pPr>
      <w:bookmarkStart w:id="0" w:name="_GoBack"/>
      <w:bookmarkEnd w:id="0"/>
    </w:p>
    <w:p w14:paraId="6463CA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AABAF">
    <w:pPr>
      <w:pStyle w:val="2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680069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680069"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A0993"/>
    <w:rsid w:val="4944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kinsoku w:val="0"/>
      <w:autoSpaceDE w:val="0"/>
      <w:autoSpaceDN w:val="0"/>
      <w:adjustRightInd w:val="0"/>
      <w:snapToGrid w:val="0"/>
      <w:spacing w:beforeLines="0" w:afterLines="0"/>
      <w:textAlignment w:val="baseline"/>
    </w:pPr>
    <w:rPr>
      <w:rFonts w:hint="default" w:ascii="Arial" w:hAnsi="Arial" w:eastAsia="宋体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able Text"/>
    <w:basedOn w:val="1"/>
    <w:autoRedefine/>
    <w:unhideWhenUsed/>
    <w:qFormat/>
    <w:uiPriority w:val="0"/>
    <w:pPr>
      <w:spacing w:beforeLines="0" w:afterLines="0"/>
    </w:pPr>
    <w:rPr>
      <w:rFonts w:hint="eastAsia" w:ascii="微软雅黑" w:hAnsi="微软雅黑" w:eastAsia="微软雅黑" w:cs="微软雅黑"/>
      <w:sz w:val="23"/>
      <w:szCs w:val="23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2022-11-09T01:10:00Z</dcterms:created>
  <dc:creator>Administrator.BF-20171119LHZI</dc:creator>
  <cp:lastModifiedBy>Administrator</cp:lastModifiedBy>
  <dcterms:modified xsi:type="dcterms:W3CDTF">2025-03-28T07:38:42Z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8BE9676BF5FE4D7685DECCE87DD74796</vt:lpwstr>
  </property>
  <property fmtid="{D5CDD505-2E9C-101B-9397-08002B2CF9AE}" pid="4" name="KSOTemplateDocerSaveRecord">
    <vt:lpwstr>eyJoZGlkIjoiODM2NGQzNjQyY2Y5MTdhYWUwMjcyYjViMDNmNjlkMzcifQ==</vt:lpwstr>
  </property>
</Properties>
</file>